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新</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市</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第</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五</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全</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国</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经</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济</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公</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黑体" w:hAnsi="黑体" w:eastAsia="黑体" w:cs="黑体"/>
          <w:bCs/>
          <w:color w:val="000000"/>
          <w:kern w:val="0"/>
          <w:sz w:val="44"/>
          <w:szCs w:val="44"/>
          <w:shd w:val="clear" w:color="auto" w:fill="FFFFFF"/>
          <w:lang w:val="en-US" w:eastAsia="zh-CN" w:bidi="ar"/>
        </w:rPr>
      </w:pPr>
      <w:r>
        <w:rPr>
          <w:rFonts w:hint="eastAsia" w:ascii="黑体" w:hAnsi="黑体" w:eastAsia="黑体" w:cs="黑体"/>
          <w:bCs/>
          <w:color w:val="000000"/>
          <w:kern w:val="0"/>
          <w:sz w:val="44"/>
          <w:szCs w:val="44"/>
          <w:shd w:val="clear" w:color="auto" w:fill="FFFFFF"/>
          <w:lang w:val="en-US" w:eastAsia="zh-CN" w:bidi="ar"/>
        </w:rPr>
        <w:t>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default"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2025年5月</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新乡市第五次全国经济普查公报（第一号）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1"/>
        <w:rPr>
          <w:rFonts w:hint="default" w:ascii="Times New Roman" w:hAnsi="Times New Roman"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——新乡市第五次全国经济普查顺利完成</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方正楷体_GBK" w:hAnsi="方正楷体_GBK"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方正仿宋_GBK" w:hAnsi="方正仿宋_GBK" w:eastAsia="方正仿宋_GBK" w:cs="方正仿宋_GBK"/>
          <w:color w:val="000000"/>
          <w:kern w:val="2"/>
          <w:sz w:val="36"/>
          <w:szCs w:val="36"/>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根据《全国经济普查条例》规定</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u w:val="none"/>
          <w:lang w:eastAsia="zh-CN"/>
        </w:rPr>
        <w:t>《国务院关于开展第五次全国经济普查的通知》（国发〔2022〕22号）、</w:t>
      </w:r>
      <w:r>
        <w:rPr>
          <w:rFonts w:hint="eastAsia" w:ascii="仿宋" w:hAnsi="仿宋" w:eastAsia="仿宋" w:cs="仿宋"/>
          <w:i w:val="0"/>
          <w:iCs w:val="0"/>
          <w:caps w:val="0"/>
          <w:color w:val="333333"/>
          <w:spacing w:val="0"/>
          <w:sz w:val="32"/>
          <w:szCs w:val="32"/>
          <w:shd w:val="clear" w:fill="FFFFFF"/>
        </w:rPr>
        <w:t>《河南省人民政府关于做好第五次全国经济普查工作的通知》（豫政〔2023〕8号）</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新乡市</w:t>
      </w:r>
      <w:r>
        <w:rPr>
          <w:rFonts w:hint="eastAsia" w:ascii="仿宋" w:hAnsi="仿宋" w:eastAsia="仿宋" w:cs="仿宋"/>
          <w:i w:val="0"/>
          <w:iCs w:val="0"/>
          <w:caps w:val="0"/>
          <w:color w:val="333333"/>
          <w:spacing w:val="0"/>
          <w:sz w:val="32"/>
          <w:szCs w:val="32"/>
          <w:shd w:val="clear" w:fill="FFFFFF"/>
        </w:rPr>
        <w:t>人民政府关于做好第五次全国经济普查工作的通知》（</w:t>
      </w:r>
      <w:r>
        <w:rPr>
          <w:rFonts w:hint="eastAsia" w:ascii="仿宋" w:hAnsi="仿宋" w:eastAsia="仿宋" w:cs="仿宋"/>
          <w:i w:val="0"/>
          <w:iCs w:val="0"/>
          <w:caps w:val="0"/>
          <w:color w:val="333333"/>
          <w:spacing w:val="0"/>
          <w:sz w:val="32"/>
          <w:szCs w:val="32"/>
          <w:shd w:val="clear" w:fill="FFFFFF"/>
          <w:lang w:eastAsia="zh-CN"/>
        </w:rPr>
        <w:t>新</w:t>
      </w:r>
      <w:r>
        <w:rPr>
          <w:rFonts w:hint="eastAsia" w:ascii="仿宋" w:hAnsi="仿宋" w:eastAsia="仿宋" w:cs="仿宋"/>
          <w:i w:val="0"/>
          <w:iCs w:val="0"/>
          <w:caps w:val="0"/>
          <w:color w:val="333333"/>
          <w:spacing w:val="0"/>
          <w:sz w:val="32"/>
          <w:szCs w:val="32"/>
          <w:shd w:val="clear" w:fill="FFFFFF"/>
        </w:rPr>
        <w:t>政〔2023〕</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号）</w:t>
      </w:r>
      <w:r>
        <w:rPr>
          <w:rFonts w:hint="eastAsia" w:ascii="仿宋" w:hAnsi="仿宋" w:eastAsia="仿宋" w:cs="仿宋"/>
          <w:color w:val="000000"/>
          <w:sz w:val="32"/>
          <w:szCs w:val="32"/>
          <w:u w:val="none"/>
          <w:lang w:eastAsia="zh-CN"/>
        </w:rPr>
        <w:t>要求，我市组织开展了第五次全国经济普查，普查的标准时点为2023年12月31日，普查的时期资料为2023年度，普查对象是我市辖区内从事第二产业和第三产业活动的全部法人单位、产业活动单位和个体经营户。</w:t>
      </w:r>
      <w:r>
        <w:rPr>
          <w:rFonts w:hint="eastAsia" w:ascii="仿宋" w:hAnsi="仿宋" w:eastAsia="仿宋" w:cs="仿宋"/>
          <w:i w:val="0"/>
          <w:iCs w:val="0"/>
          <w:caps w:val="0"/>
          <w:color w:val="000000"/>
          <w:spacing w:val="0"/>
          <w:sz w:val="32"/>
          <w:szCs w:val="32"/>
          <w:shd w:val="clear" w:fill="FFFFFF"/>
        </w:rPr>
        <w:t>在市委市政府的坚强领导下，按照河南省第</w:t>
      </w:r>
      <w:r>
        <w:rPr>
          <w:rFonts w:hint="eastAsia" w:ascii="仿宋" w:hAnsi="仿宋" w:eastAsia="仿宋" w:cs="仿宋"/>
          <w:i w:val="0"/>
          <w:iCs w:val="0"/>
          <w:caps w:val="0"/>
          <w:color w:val="000000"/>
          <w:spacing w:val="0"/>
          <w:sz w:val="32"/>
          <w:szCs w:val="32"/>
          <w:shd w:val="clear" w:fill="FFFFFF"/>
          <w:lang w:eastAsia="zh-CN"/>
        </w:rPr>
        <w:t>五</w:t>
      </w:r>
      <w:r>
        <w:rPr>
          <w:rFonts w:hint="eastAsia" w:ascii="仿宋" w:hAnsi="仿宋" w:eastAsia="仿宋" w:cs="仿宋"/>
          <w:i w:val="0"/>
          <w:iCs w:val="0"/>
          <w:caps w:val="0"/>
          <w:color w:val="000000"/>
          <w:spacing w:val="0"/>
          <w:sz w:val="32"/>
          <w:szCs w:val="32"/>
          <w:shd w:val="clear" w:fill="FFFFFF"/>
        </w:rPr>
        <w:t>次全国经济普查领导小组办公室统一部署，在各部门和各级普查机构的共同努力下，经过广大普查人员两年来的艰辛努力以及全市范围内普查对象的积极参与，我市第</w:t>
      </w:r>
      <w:r>
        <w:rPr>
          <w:rFonts w:hint="eastAsia" w:ascii="仿宋" w:hAnsi="仿宋" w:eastAsia="仿宋" w:cs="仿宋"/>
          <w:i w:val="0"/>
          <w:iCs w:val="0"/>
          <w:caps w:val="0"/>
          <w:color w:val="000000"/>
          <w:spacing w:val="0"/>
          <w:sz w:val="32"/>
          <w:szCs w:val="32"/>
          <w:shd w:val="clear" w:fill="FFFFFF"/>
          <w:lang w:eastAsia="zh-CN"/>
        </w:rPr>
        <w:t>五</w:t>
      </w:r>
      <w:r>
        <w:rPr>
          <w:rFonts w:hint="eastAsia" w:ascii="仿宋" w:hAnsi="仿宋" w:eastAsia="仿宋" w:cs="仿宋"/>
          <w:i w:val="0"/>
          <w:iCs w:val="0"/>
          <w:caps w:val="0"/>
          <w:color w:val="000000"/>
          <w:spacing w:val="0"/>
          <w:sz w:val="32"/>
          <w:szCs w:val="32"/>
          <w:shd w:val="clear" w:fill="FFFFFF"/>
        </w:rPr>
        <w:t>次全国经济普查全面完成单位清查、现场登记、事后质量抽查、汇总评估等各项任务，取得重大成果和显著成效。</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000000"/>
          <w:sz w:val="32"/>
          <w:szCs w:val="32"/>
          <w:u w:val="none"/>
          <w:lang w:eastAsia="zh-CN"/>
        </w:rPr>
      </w:pPr>
      <w:r>
        <w:rPr>
          <w:rFonts w:hint="eastAsia" w:ascii="黑体" w:hAnsi="黑体" w:eastAsia="黑体" w:cs="黑体"/>
          <w:color w:val="000000"/>
          <w:kern w:val="2"/>
          <w:sz w:val="32"/>
          <w:szCs w:val="32"/>
          <w:lang w:val="en-US" w:eastAsia="zh-CN" w:bidi="ar-SA"/>
        </w:rPr>
        <w:t>一、</w:t>
      </w:r>
      <w:r>
        <w:rPr>
          <w:rFonts w:hint="eastAsia" w:ascii="黑体" w:hAnsi="黑体" w:eastAsia="黑体" w:cs="黑体"/>
          <w:color w:val="000000"/>
          <w:sz w:val="32"/>
          <w:szCs w:val="32"/>
          <w:u w:val="none"/>
          <w:lang w:eastAsia="zh-CN"/>
        </w:rPr>
        <w:t>加强组织领导</w:t>
      </w:r>
    </w:p>
    <w:p>
      <w:pPr>
        <w:pStyle w:val="2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 20</w:t>
      </w:r>
      <w:r>
        <w:rPr>
          <w:rFonts w:hint="eastAsia" w:ascii="仿宋" w:hAnsi="仿宋" w:eastAsia="仿宋" w:cs="仿宋"/>
          <w:i w:val="0"/>
          <w:iCs w:val="0"/>
          <w:caps w:val="0"/>
          <w:color w:val="000000"/>
          <w:spacing w:val="0"/>
          <w:sz w:val="32"/>
          <w:szCs w:val="32"/>
          <w:shd w:val="clear" w:fill="FFFFFF"/>
          <w:lang w:val="en-US" w:eastAsia="zh-CN"/>
        </w:rPr>
        <w:t>23</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11</w:t>
      </w:r>
      <w:r>
        <w:rPr>
          <w:rFonts w:hint="eastAsia" w:ascii="仿宋" w:hAnsi="仿宋" w:eastAsia="仿宋" w:cs="仿宋"/>
          <w:i w:val="0"/>
          <w:iCs w:val="0"/>
          <w:caps w:val="0"/>
          <w:color w:val="000000"/>
          <w:spacing w:val="0"/>
          <w:sz w:val="32"/>
          <w:szCs w:val="32"/>
          <w:shd w:val="clear" w:fill="FFFFFF"/>
        </w:rPr>
        <w:t>日，市政府成立了新乡市第</w:t>
      </w:r>
      <w:r>
        <w:rPr>
          <w:rFonts w:hint="eastAsia" w:ascii="仿宋" w:hAnsi="仿宋" w:eastAsia="仿宋" w:cs="仿宋"/>
          <w:i w:val="0"/>
          <w:iCs w:val="0"/>
          <w:caps w:val="0"/>
          <w:color w:val="000000"/>
          <w:spacing w:val="0"/>
          <w:sz w:val="32"/>
          <w:szCs w:val="32"/>
          <w:shd w:val="clear" w:fill="FFFFFF"/>
          <w:lang w:eastAsia="zh-CN"/>
        </w:rPr>
        <w:t>五</w:t>
      </w:r>
      <w:r>
        <w:rPr>
          <w:rFonts w:hint="eastAsia" w:ascii="仿宋" w:hAnsi="仿宋" w:eastAsia="仿宋" w:cs="仿宋"/>
          <w:i w:val="0"/>
          <w:iCs w:val="0"/>
          <w:caps w:val="0"/>
          <w:color w:val="000000"/>
          <w:spacing w:val="0"/>
          <w:sz w:val="32"/>
          <w:szCs w:val="32"/>
          <w:shd w:val="clear" w:fill="FFFFFF"/>
        </w:rPr>
        <w:t>次全国经济普查领导小组，领导小组办公室设在市统计局，由3</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个部门和单位组成。按照“全</w:t>
      </w:r>
      <w:r>
        <w:rPr>
          <w:rFonts w:hint="eastAsia" w:ascii="仿宋" w:hAnsi="仿宋" w:eastAsia="仿宋" w:cs="仿宋"/>
          <w:i w:val="0"/>
          <w:iCs w:val="0"/>
          <w:caps w:val="0"/>
          <w:color w:val="000000"/>
          <w:spacing w:val="0"/>
          <w:sz w:val="32"/>
          <w:szCs w:val="32"/>
          <w:shd w:val="clear" w:fill="FFFFFF"/>
          <w:lang w:eastAsia="zh-CN"/>
        </w:rPr>
        <w:t>国</w:t>
      </w:r>
      <w:r>
        <w:rPr>
          <w:rFonts w:hint="eastAsia" w:ascii="仿宋" w:hAnsi="仿宋" w:eastAsia="仿宋" w:cs="仿宋"/>
          <w:i w:val="0"/>
          <w:iCs w:val="0"/>
          <w:caps w:val="0"/>
          <w:color w:val="000000"/>
          <w:spacing w:val="0"/>
          <w:sz w:val="32"/>
          <w:szCs w:val="32"/>
          <w:shd w:val="clear" w:fill="FFFFFF"/>
        </w:rPr>
        <w:t>统一领导、部门分工协作、地方分级负责、各方共同参与”的组织实施原则，全市</w:t>
      </w:r>
      <w:r>
        <w:rPr>
          <w:rFonts w:hint="eastAsia" w:ascii="仿宋" w:hAnsi="仿宋" w:eastAsia="仿宋" w:cs="仿宋"/>
          <w:i w:val="0"/>
          <w:iCs w:val="0"/>
          <w:caps w:val="0"/>
          <w:color w:val="000000"/>
          <w:spacing w:val="0"/>
          <w:sz w:val="32"/>
          <w:szCs w:val="32"/>
          <w:shd w:val="clear" w:fill="FFFFFF"/>
          <w:lang w:eastAsia="zh-CN"/>
        </w:rPr>
        <w:t>各</w:t>
      </w:r>
      <w:r>
        <w:rPr>
          <w:rFonts w:hint="eastAsia" w:ascii="仿宋" w:hAnsi="仿宋" w:eastAsia="仿宋" w:cs="仿宋"/>
          <w:i w:val="0"/>
          <w:iCs w:val="0"/>
          <w:caps w:val="0"/>
          <w:color w:val="000000"/>
          <w:spacing w:val="0"/>
          <w:sz w:val="32"/>
          <w:szCs w:val="32"/>
          <w:shd w:val="clear" w:fill="FFFFFF"/>
        </w:rPr>
        <w:t>级人民政府以及相关部门均建立普查机构，为普查工作开展提供了坚实的组织保障。地方各级人民政府全面加强领导，精心组织实施，做到人员到位、措施到位、经费到位。相关部门积极主动参与普查工作，充分发挥各自职能，提供多方保障，确保了普查的顺利实施。</w:t>
      </w:r>
    </w:p>
    <w:p>
      <w:pPr>
        <w:pStyle w:val="2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二、全面摸清家底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000000"/>
          <w:sz w:val="32"/>
          <w:szCs w:val="32"/>
          <w:u w:val="none"/>
          <w:lang w:eastAsia="zh-CN"/>
        </w:rPr>
      </w:pPr>
      <w:r>
        <w:rPr>
          <w:rFonts w:hint="eastAsia" w:ascii="仿宋" w:hAnsi="仿宋" w:eastAsia="仿宋" w:cs="仿宋"/>
          <w:i w:val="0"/>
          <w:iCs w:val="0"/>
          <w:caps w:val="0"/>
          <w:color w:val="333333"/>
          <w:spacing w:val="0"/>
          <w:sz w:val="32"/>
          <w:szCs w:val="32"/>
          <w:shd w:val="clear" w:fill="FFFFFF"/>
        </w:rPr>
        <w:t>第五次全国经济普查是在我国迈上全面建设社会主义现代化国家新征程、向第二个百年奋斗目标进军的关键时刻开展的一次重大国情国力调查。2024年1月1日至4月30日，全</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普查人员凝心聚力、攻坚克难，对我</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辖区内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通过这次普查，全面调查了我</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第二产业和第三产业发展规模、布局和效益，摸清了各类单位基本情况，掌握了国民经济行业间经济联系，客观反映了我</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推动高质量发展、构建新发展格局、建设现代化经济体系、深化供给侧结构性改革及创新驱动发展等方面的新进展，全面评价了我</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先进制造业开发区、现代服务业开发区等发展载体的发展情况，为进一步全面深化改革、</w:t>
      </w:r>
      <w:r>
        <w:rPr>
          <w:rFonts w:hint="eastAsia" w:ascii="仿宋" w:hAnsi="仿宋" w:eastAsia="仿宋" w:cs="仿宋"/>
          <w:i w:val="0"/>
          <w:iCs w:val="0"/>
          <w:caps w:val="0"/>
          <w:color w:val="333333"/>
          <w:spacing w:val="0"/>
          <w:sz w:val="32"/>
          <w:szCs w:val="32"/>
          <w:shd w:val="clear" w:fill="FFFFFF"/>
          <w:lang w:eastAsia="zh-CN"/>
        </w:rPr>
        <w:t>推动新乡经济社会高质量发展</w:t>
      </w:r>
      <w:r>
        <w:rPr>
          <w:rFonts w:hint="eastAsia" w:ascii="仿宋" w:hAnsi="仿宋" w:eastAsia="仿宋" w:cs="仿宋"/>
          <w:i w:val="0"/>
          <w:iCs w:val="0"/>
          <w:caps w:val="0"/>
          <w:color w:val="333333"/>
          <w:spacing w:val="0"/>
          <w:sz w:val="32"/>
          <w:szCs w:val="32"/>
          <w:shd w:val="clear" w:fill="FFFFFF"/>
        </w:rPr>
        <w:t>提供真实可靠的统计信息支撑。</w:t>
      </w:r>
    </w:p>
    <w:p>
      <w:pPr>
        <w:pStyle w:val="2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三、科学规范实施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按照“坚持质量标准、坚持统分结合、坚持手段创新、坚持协作共享、坚持依法普查”的基本原则，新乡市第五次全国经济普查领导小组办公室借鉴历次普查经验，提升工作标准，完善工作机制，确保科学规范实施普查。在方法运用上，采用先单位清查后普查登记的方式，通过对我市辖区内全部法人单位、产业活动单位和从事第二产业、第三产业活动的个体经营户进行“地毯式”清查，确保不重不漏、找全划准普查对象。在单位清查基础上，对从事第二产业、第三产业活动的法人单位和产业活动单位进行全面调查，对个体经营户进行抽样调查，对选中的投入产出调查单位同步开展投入产出调查。在技术手段上，充分利用部门行政记录和业务资料合并生成底册信息，采取普查对象网上填报和普查员使用手持移动终端入户登记相结合的方式采集基层普查数据，推进实施投入产出调查电子统计台账，提高普查人员管理与培训信息化水平，全面提升普查工作质效。这次普查整合优化了统计调查项目，改进了统计制度方法，加强了重点领域统计监测，进一步夯实了统计基础，深化推进了统计现代化改革，为统计工作更好服务高质量发展做出了有益实践。</w:t>
      </w:r>
    </w:p>
    <w:p>
      <w:pPr>
        <w:pStyle w:val="2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四、确保数据质量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各级普查机构严格执行普查方案，建立健全普查数据质量岗位责任制和问题追溯机制，设立普查质量管理小组，实行全过程数据质量控制。选优配强普查队伍，多措并举开展培训指导，组织普查人员严格按照普查流程、质量标准进行数据采集与审核，实行普查员工作日志，使普查数据有据可查，确保源头数据质量。坚持各级联动审核普查数据，全方位做好数据监测分析，边普查、边审核、边检查，及时核实消除数据差错，严格开展数据质量检查，确保过程数据质量。针对单位清查和普查登记等重点环节开展全面督导调研，精准指导解决普查问题，切实提升普查工作质量和数据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rPr>
      </w:pPr>
      <w:r>
        <w:rPr>
          <w:rFonts w:hint="eastAsia" w:ascii="仿宋" w:hAnsi="仿宋" w:eastAsia="仿宋" w:cs="仿宋"/>
          <w:color w:val="000000"/>
          <w:kern w:val="2"/>
          <w:sz w:val="32"/>
          <w:szCs w:val="32"/>
          <w:u w:val="none"/>
          <w:lang w:val="en-US" w:eastAsia="zh-CN" w:bidi="ar-SA"/>
        </w:rPr>
        <w:t>普查结果显示，2023年末，全市共有从事第二产业和第三产业活动的法人单位128370个，与2018年末（2018年是第四次全国经济普查年份，下同）相比，增长79.8%，从业人员</w:t>
      </w:r>
      <w:r>
        <w:rPr>
          <w:rFonts w:hint="eastAsia" w:ascii="仿宋" w:hAnsi="仿宋" w:eastAsia="仿宋" w:cs="仿宋"/>
          <w:color w:val="auto"/>
          <w:kern w:val="2"/>
          <w:sz w:val="32"/>
          <w:szCs w:val="32"/>
          <w:u w:val="none"/>
          <w:lang w:val="en-US" w:eastAsia="zh-CN" w:bidi="ar-SA"/>
        </w:rPr>
        <w:t>1638742人，增长28.0%；</w:t>
      </w:r>
      <w:r>
        <w:rPr>
          <w:rFonts w:hint="eastAsia" w:ascii="仿宋" w:hAnsi="仿宋" w:eastAsia="仿宋" w:cs="仿宋"/>
          <w:color w:val="000000"/>
          <w:kern w:val="2"/>
          <w:sz w:val="32"/>
          <w:szCs w:val="32"/>
          <w:u w:val="none"/>
          <w:lang w:val="en-US" w:eastAsia="zh-CN" w:bidi="ar-SA"/>
        </w:rPr>
        <w:t>个体经营户310906个，从业人员</w:t>
      </w:r>
      <w:r>
        <w:rPr>
          <w:rFonts w:hint="eastAsia" w:ascii="仿宋" w:hAnsi="仿宋" w:eastAsia="仿宋" w:cs="仿宋"/>
          <w:color w:val="auto"/>
          <w:kern w:val="2"/>
          <w:sz w:val="32"/>
          <w:szCs w:val="32"/>
          <w:u w:val="none"/>
          <w:lang w:val="en-US" w:eastAsia="zh-CN" w:bidi="ar-SA"/>
        </w:rPr>
        <w:t>695480人</w:t>
      </w:r>
      <w:r>
        <w:rPr>
          <w:rFonts w:hint="eastAsia" w:ascii="仿宋" w:hAnsi="仿宋" w:eastAsia="仿宋" w:cs="仿宋"/>
          <w:color w:val="000000"/>
          <w:kern w:val="2"/>
          <w:sz w:val="32"/>
          <w:szCs w:val="32"/>
          <w:u w:val="none"/>
          <w:lang w:val="en-US" w:eastAsia="zh-CN" w:bidi="ar-SA"/>
        </w:rPr>
        <w:t>。总体来看，新乡市第五次全国经济普查组织实施科学规范有序，普查全过程公开透明，全面摸清了我市第二产业和第三产业家底，能够真实反映我市经济社会发展状况，达到了预期目标。</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outlineLvl w:val="0"/>
        <w:rPr>
          <w:rFonts w:hint="eastAsia" w:eastAsia="方正小标宋_GBK" w:cs="Times New Roman"/>
          <w:bCs/>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w:t>
      </w:r>
      <w:r>
        <w:rPr>
          <w:rFonts w:hint="eastAsia" w:ascii="Times New Roman" w:hAnsi="Times New Roman" w:eastAsia="方正小标宋_GBK" w:cs="Times New Roman"/>
          <w:bCs/>
          <w:color w:val="000000"/>
          <w:kern w:val="0"/>
          <w:sz w:val="44"/>
          <w:szCs w:val="44"/>
          <w:shd w:val="clear" w:color="auto" w:fill="FFFFFF"/>
          <w:lang w:val="en-US" w:eastAsia="zh-CN" w:bidi="ar"/>
        </w:rPr>
        <w:t>第五次全国经济普查公报（第二号）</w:t>
      </w:r>
    </w:p>
    <w:p>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outlineLvl w:val="1"/>
        <w:rPr>
          <w:rFonts w:hint="default"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——单位基本情况</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default" w:ascii="Times New Roman" w:hAnsi="Times New Roman" w:cs="Times New Roman"/>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val="0"/>
        <w:kinsoku/>
        <w:wordWrap/>
        <w:overflowPunct w:val="0"/>
        <w:topLinePunct w:val="0"/>
        <w:autoSpaceDE/>
        <w:autoSpaceDN/>
        <w:bidi w:val="0"/>
        <w:adjustRightInd w:val="0"/>
        <w:snapToGrid w:val="0"/>
        <w:spacing w:afterAutospacing="0" w:line="440" w:lineRule="exact"/>
        <w:ind w:left="0" w:leftChars="0" w:firstLine="0" w:firstLineChars="0"/>
        <w:jc w:val="center"/>
        <w:textAlignment w:val="center"/>
        <w:rPr>
          <w:rFonts w:hint="eastAsia" w:ascii="Times New Roman" w:hAnsi="Times New Roman" w:eastAsia="方正仿宋_GBK" w:cs="方正仿宋_GBK"/>
          <w:color w:val="000000"/>
          <w:kern w:val="2"/>
          <w:sz w:val="36"/>
          <w:szCs w:val="36"/>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根据新乡市第五次全国经济普查结果，现将全市第二产业和第三产业单位情况、从业人员、资产负债状况和营业收入公布如下：</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一、单位情况</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eastAsia="zh-CN"/>
        </w:rPr>
        <w:t>2023年末，全市共有从事第二产业和第三产业活动的法人单位</w:t>
      </w:r>
      <w:r>
        <w:rPr>
          <w:rFonts w:hint="eastAsia" w:ascii="仿宋" w:hAnsi="仿宋" w:eastAsia="仿宋" w:cs="仿宋"/>
          <w:color w:val="000000"/>
          <w:kern w:val="2"/>
          <w:sz w:val="32"/>
          <w:szCs w:val="32"/>
          <w:u w:val="none"/>
          <w:lang w:val="en" w:eastAsia="zh-CN" w:bidi="ar-SA"/>
        </w:rPr>
        <w:t>1283</w:t>
      </w:r>
      <w:r>
        <w:rPr>
          <w:rFonts w:hint="eastAsia" w:ascii="仿宋" w:hAnsi="仿宋" w:eastAsia="仿宋" w:cs="仿宋"/>
          <w:color w:val="000000"/>
          <w:kern w:val="2"/>
          <w:sz w:val="32"/>
          <w:szCs w:val="32"/>
          <w:u w:val="none"/>
          <w:lang w:val="en-US" w:eastAsia="zh-CN" w:bidi="ar-SA"/>
        </w:rPr>
        <w:t>70</w:t>
      </w:r>
      <w:r>
        <w:rPr>
          <w:rFonts w:hint="eastAsia" w:ascii="仿宋" w:hAnsi="仿宋" w:eastAsia="仿宋" w:cs="仿宋"/>
          <w:color w:val="000000"/>
          <w:sz w:val="32"/>
          <w:szCs w:val="32"/>
          <w:u w:val="none"/>
          <w:lang w:eastAsia="zh-CN"/>
        </w:rPr>
        <w:t>个，比2018年末增加</w:t>
      </w:r>
      <w:r>
        <w:rPr>
          <w:rFonts w:hint="eastAsia" w:ascii="仿宋" w:hAnsi="仿宋" w:eastAsia="仿宋" w:cs="仿宋"/>
          <w:color w:val="000000"/>
          <w:sz w:val="32"/>
          <w:szCs w:val="32"/>
          <w:u w:val="none"/>
          <w:lang w:val="en" w:eastAsia="zh-CN"/>
        </w:rPr>
        <w:t>569</w:t>
      </w:r>
      <w:r>
        <w:rPr>
          <w:rFonts w:hint="eastAsia" w:ascii="仿宋" w:hAnsi="仿宋" w:eastAsia="仿宋" w:cs="仿宋"/>
          <w:color w:val="000000"/>
          <w:sz w:val="32"/>
          <w:szCs w:val="32"/>
          <w:u w:val="none"/>
          <w:lang w:val="en-US" w:eastAsia="zh-CN"/>
        </w:rPr>
        <w:t>76</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79.8</w:t>
      </w:r>
      <w:r>
        <w:rPr>
          <w:rFonts w:hint="eastAsia" w:ascii="仿宋" w:hAnsi="仿宋" w:eastAsia="仿宋" w:cs="仿宋"/>
          <w:color w:val="000000"/>
          <w:sz w:val="32"/>
          <w:szCs w:val="32"/>
          <w:u w:val="none"/>
          <w:lang w:eastAsia="zh-CN"/>
        </w:rPr>
        <w:t>%；产业活动单位</w:t>
      </w:r>
      <w:r>
        <w:rPr>
          <w:rFonts w:hint="eastAsia" w:ascii="仿宋" w:hAnsi="仿宋" w:eastAsia="仿宋" w:cs="仿宋"/>
          <w:color w:val="000000"/>
          <w:sz w:val="32"/>
          <w:szCs w:val="32"/>
          <w:u w:val="none"/>
          <w:vertAlign w:val="superscript"/>
          <w:lang w:eastAsia="zh-CN"/>
        </w:rPr>
        <w:footnoteReference w:id="0"/>
      </w:r>
      <w:r>
        <w:rPr>
          <w:rFonts w:hint="eastAsia" w:ascii="仿宋" w:hAnsi="仿宋" w:eastAsia="仿宋" w:cs="仿宋"/>
          <w:color w:val="000000"/>
          <w:sz w:val="32"/>
          <w:szCs w:val="32"/>
          <w:u w:val="none"/>
          <w:lang w:val="en" w:eastAsia="zh-CN"/>
        </w:rPr>
        <w:t>13</w:t>
      </w:r>
      <w:r>
        <w:rPr>
          <w:rFonts w:hint="eastAsia" w:ascii="仿宋" w:hAnsi="仿宋" w:eastAsia="仿宋" w:cs="仿宋"/>
          <w:color w:val="000000"/>
          <w:sz w:val="32"/>
          <w:szCs w:val="32"/>
          <w:u w:val="none"/>
          <w:lang w:val="en-US" w:eastAsia="zh-CN"/>
        </w:rPr>
        <w:t>9301</w:t>
      </w:r>
      <w:r>
        <w:rPr>
          <w:rFonts w:hint="eastAsia" w:ascii="仿宋" w:hAnsi="仿宋" w:eastAsia="仿宋" w:cs="仿宋"/>
          <w:color w:val="000000"/>
          <w:sz w:val="32"/>
          <w:szCs w:val="32"/>
          <w:u w:val="none"/>
          <w:lang w:eastAsia="zh-CN"/>
        </w:rPr>
        <w:t>个，增加</w:t>
      </w:r>
      <w:r>
        <w:rPr>
          <w:rFonts w:hint="eastAsia" w:ascii="仿宋" w:hAnsi="仿宋" w:eastAsia="仿宋" w:cs="仿宋"/>
          <w:color w:val="000000"/>
          <w:sz w:val="32"/>
          <w:szCs w:val="32"/>
          <w:u w:val="none"/>
          <w:lang w:val="en" w:eastAsia="zh-CN"/>
        </w:rPr>
        <w:t>5862</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72.7</w:t>
      </w:r>
      <w:r>
        <w:rPr>
          <w:rFonts w:hint="eastAsia" w:ascii="仿宋" w:hAnsi="仿宋" w:eastAsia="仿宋" w:cs="仿宋"/>
          <w:color w:val="000000"/>
          <w:sz w:val="32"/>
          <w:szCs w:val="32"/>
          <w:u w:val="none"/>
          <w:lang w:eastAsia="zh-CN"/>
        </w:rPr>
        <w:t>%；个体经营户</w:t>
      </w:r>
      <w:r>
        <w:rPr>
          <w:rFonts w:hint="eastAsia" w:ascii="仿宋" w:hAnsi="仿宋" w:eastAsia="仿宋" w:cs="仿宋"/>
          <w:color w:val="000000"/>
          <w:sz w:val="32"/>
          <w:szCs w:val="32"/>
          <w:u w:val="none"/>
          <w:lang w:val="en" w:eastAsia="zh-CN"/>
        </w:rPr>
        <w:t>310906</w:t>
      </w:r>
      <w:r>
        <w:rPr>
          <w:rFonts w:hint="eastAsia" w:ascii="仿宋" w:hAnsi="仿宋" w:eastAsia="仿宋" w:cs="仿宋"/>
          <w:color w:val="000000"/>
          <w:sz w:val="32"/>
          <w:szCs w:val="32"/>
          <w:u w:val="none"/>
          <w:lang w:eastAsia="zh-CN"/>
        </w:rPr>
        <w:t>个，增加</w:t>
      </w:r>
      <w:r>
        <w:rPr>
          <w:rFonts w:hint="eastAsia" w:ascii="仿宋" w:hAnsi="仿宋" w:eastAsia="仿宋" w:cs="仿宋"/>
          <w:color w:val="000000"/>
          <w:sz w:val="32"/>
          <w:szCs w:val="32"/>
          <w:u w:val="none"/>
          <w:lang w:val="en" w:eastAsia="zh-CN"/>
        </w:rPr>
        <w:t>82454</w:t>
      </w:r>
      <w:r>
        <w:rPr>
          <w:rFonts w:hint="eastAsia" w:ascii="仿宋" w:hAnsi="仿宋" w:eastAsia="仿宋" w:cs="仿宋"/>
          <w:color w:val="000000"/>
          <w:sz w:val="32"/>
          <w:szCs w:val="32"/>
          <w:u w:val="none"/>
          <w:lang w:eastAsia="zh-CN"/>
        </w:rPr>
        <w:t>个，增长</w:t>
      </w:r>
      <w:r>
        <w:rPr>
          <w:rFonts w:hint="eastAsia" w:ascii="仿宋" w:hAnsi="仿宋" w:eastAsia="仿宋" w:cs="仿宋"/>
          <w:color w:val="000000"/>
          <w:sz w:val="32"/>
          <w:szCs w:val="32"/>
          <w:u w:val="none"/>
          <w:lang w:val="en" w:eastAsia="zh-CN"/>
        </w:rPr>
        <w:t>36.1</w:t>
      </w:r>
      <w:r>
        <w:rPr>
          <w:rFonts w:hint="eastAsia" w:ascii="仿宋" w:hAnsi="仿宋" w:eastAsia="仿宋" w:cs="仿宋"/>
          <w:color w:val="000000"/>
          <w:sz w:val="32"/>
          <w:szCs w:val="32"/>
          <w:u w:val="none"/>
          <w:lang w:eastAsia="zh-CN"/>
        </w:rPr>
        <w:t>%（详见表2-1）。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表2-1　单位数与个体经营户数</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0"/>
        <w:gridCol w:w="1904"/>
        <w:gridCol w:w="18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宋体" w:cs="宋体"/>
                <w:color w:val="000000"/>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一、法人单位</w:t>
            </w:r>
          </w:p>
        </w:tc>
        <w:tc>
          <w:tcPr>
            <w:tcW w:w="1904"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1283</w:t>
            </w:r>
            <w:r>
              <w:rPr>
                <w:rFonts w:hint="eastAsia" w:cs="宋体"/>
                <w:b/>
                <w:bCs/>
                <w:color w:val="000000"/>
                <w:sz w:val="21"/>
                <w:szCs w:val="21"/>
                <w:highlight w:val="none"/>
                <w:lang w:val="en-US" w:eastAsia="zh-CN"/>
              </w:rPr>
              <w:t>70</w:t>
            </w:r>
          </w:p>
        </w:tc>
        <w:tc>
          <w:tcPr>
            <w:tcW w:w="1879" w:type="dxa"/>
            <w:tcBorders>
              <w:top w:val="single" w:color="auto" w:sz="4" w:space="0"/>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100</w:t>
            </w:r>
            <w:r>
              <w:rPr>
                <w:rFonts w:hint="eastAsia" w:cs="宋体"/>
                <w:b/>
                <w:bCs/>
                <w:color w:val="00000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企业法人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cs="宋体"/>
                <w:color w:val="000000"/>
                <w:sz w:val="21"/>
                <w:szCs w:val="21"/>
                <w:highlight w:val="none"/>
                <w:lang w:val="en-US" w:eastAsia="zh-CN"/>
              </w:rPr>
            </w:pPr>
            <w:r>
              <w:rPr>
                <w:rFonts w:hint="default" w:cs="宋体"/>
                <w:color w:val="000000"/>
                <w:sz w:val="21"/>
                <w:szCs w:val="21"/>
                <w:highlight w:val="none"/>
                <w:lang w:val="en" w:eastAsia="zh-CN"/>
              </w:rPr>
              <w:t>1</w:t>
            </w:r>
            <w:bookmarkStart w:id="0" w:name="_GoBack"/>
            <w:bookmarkEnd w:id="0"/>
            <w:r>
              <w:rPr>
                <w:rFonts w:hint="default" w:ascii="Times New Roman" w:hAnsi="Times New Roman" w:cs="宋体"/>
                <w:color w:val="000000"/>
                <w:sz w:val="21"/>
                <w:szCs w:val="21"/>
                <w:highlight w:val="none"/>
                <w:lang w:val="en" w:eastAsia="zh-CN"/>
              </w:rPr>
              <w:t>113</w:t>
            </w:r>
            <w:r>
              <w:rPr>
                <w:rFonts w:hint="eastAsia" w:cs="宋体"/>
                <w:color w:val="000000"/>
                <w:sz w:val="21"/>
                <w:szCs w:val="21"/>
                <w:highlight w:val="none"/>
                <w:lang w:val="en-US" w:eastAsia="zh-CN"/>
              </w:rPr>
              <w:t>67</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86.8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机关、事业法人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5100</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社会团体</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635</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420" w:firstLineChars="20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其他法人</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11268</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二、产业活动单位</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139</w:t>
            </w:r>
            <w:r>
              <w:rPr>
                <w:rFonts w:hint="eastAsia" w:cs="宋体"/>
                <w:b/>
                <w:bCs/>
                <w:color w:val="000000"/>
                <w:sz w:val="21"/>
                <w:szCs w:val="21"/>
                <w:highlight w:val="none"/>
                <w:lang w:val="en-US" w:eastAsia="zh-CN"/>
              </w:rPr>
              <w:t>301</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00000"/>
                <w:sz w:val="21"/>
                <w:szCs w:val="21"/>
                <w:highlight w:val="none"/>
                <w:lang w:val="en-US" w:eastAsia="zh-CN"/>
              </w:rPr>
            </w:pPr>
            <w:r>
              <w:rPr>
                <w:rFonts w:hint="default" w:ascii="Times New Roman" w:hAnsi="Times New Roman" w:cs="宋体"/>
                <w:b/>
                <w:bCs/>
                <w:color w:val="000000"/>
                <w:sz w:val="21"/>
                <w:szCs w:val="21"/>
                <w:highlight w:val="none"/>
                <w:lang w:val="en" w:eastAsia="zh-CN"/>
              </w:rPr>
              <w:t>100</w:t>
            </w:r>
            <w:r>
              <w:rPr>
                <w:rFonts w:hint="eastAsia" w:cs="宋体"/>
                <w:b/>
                <w:bCs/>
                <w:color w:val="00000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3737</w:t>
            </w:r>
            <w:r>
              <w:rPr>
                <w:rFonts w:hint="eastAsia" w:cs="宋体"/>
                <w:color w:val="000000"/>
                <w:sz w:val="21"/>
                <w:szCs w:val="21"/>
                <w:highlight w:val="none"/>
                <w:lang w:val="en-US" w:eastAsia="zh-CN"/>
              </w:rPr>
              <w:t>8</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00000"/>
                <w:sz w:val="21"/>
                <w:szCs w:val="21"/>
                <w:highlight w:val="none"/>
                <w:lang w:val="en-US" w:eastAsia="zh-CN"/>
              </w:rPr>
            </w:pPr>
            <w:r>
              <w:rPr>
                <w:rFonts w:hint="eastAsia" w:cs="宋体"/>
                <w:color w:val="000000"/>
                <w:sz w:val="21"/>
                <w:szCs w:val="21"/>
                <w:highlight w:val="none"/>
                <w:lang w:val="en-US" w:eastAsia="zh-CN"/>
              </w:rPr>
              <w:t>26.8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第三产业</w:t>
            </w:r>
          </w:p>
        </w:tc>
        <w:tc>
          <w:tcPr>
            <w:tcW w:w="1904"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US" w:eastAsia="zh-CN"/>
              </w:rPr>
            </w:pPr>
            <w:r>
              <w:rPr>
                <w:rFonts w:hint="default" w:ascii="Times New Roman" w:hAnsi="Times New Roman" w:cs="宋体"/>
                <w:color w:val="000000"/>
                <w:sz w:val="21"/>
                <w:szCs w:val="21"/>
                <w:highlight w:val="none"/>
                <w:lang w:val="en" w:eastAsia="zh-CN"/>
              </w:rPr>
              <w:t>10192</w:t>
            </w:r>
            <w:r>
              <w:rPr>
                <w:rFonts w:hint="eastAsia" w:cs="宋体"/>
                <w:color w:val="000000"/>
                <w:sz w:val="21"/>
                <w:szCs w:val="21"/>
                <w:highlight w:val="none"/>
                <w:lang w:val="en-US" w:eastAsia="zh-CN"/>
              </w:rPr>
              <w:t>3</w:t>
            </w:r>
          </w:p>
        </w:tc>
        <w:tc>
          <w:tcPr>
            <w:tcW w:w="1879" w:type="dxa"/>
            <w:tcBorders>
              <w:top w:val="nil"/>
              <w:left w:val="single" w:color="auto" w:sz="4" w:space="0"/>
              <w:bottom w:val="nil"/>
              <w:right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00000"/>
                <w:sz w:val="21"/>
                <w:szCs w:val="21"/>
                <w:highlight w:val="none"/>
                <w:lang w:val="en-US" w:eastAsia="zh-CN"/>
              </w:rPr>
            </w:pPr>
            <w:r>
              <w:rPr>
                <w:rFonts w:hint="eastAsia" w:cs="宋体"/>
                <w:color w:val="000000"/>
                <w:sz w:val="21"/>
                <w:szCs w:val="21"/>
                <w:highlight w:val="none"/>
                <w:lang w:val="en-US" w:eastAsia="zh-CN"/>
              </w:rPr>
              <w:t>73.2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三、个体经营户</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b/>
                <w:bCs/>
                <w:snapToGrid w:val="0"/>
                <w:color w:val="auto"/>
                <w:kern w:val="2"/>
                <w:sz w:val="21"/>
                <w:szCs w:val="21"/>
                <w:highlight w:val="none"/>
                <w:vertAlign w:val="baseline"/>
                <w:lang w:val="en-US" w:eastAsia="zh-CN" w:bidi="ar-SA"/>
              </w:rPr>
            </w:pPr>
            <w:r>
              <w:rPr>
                <w:rFonts w:hint="default" w:ascii="Times New Roman" w:hAnsi="Times New Roman" w:cs="宋体"/>
                <w:b/>
                <w:bCs/>
                <w:color w:val="auto"/>
                <w:sz w:val="21"/>
                <w:szCs w:val="21"/>
                <w:highlight w:val="none"/>
                <w:lang w:val="en" w:eastAsia="zh-CN"/>
              </w:rPr>
              <w:t>310906</w:t>
            </w:r>
          </w:p>
        </w:tc>
        <w:tc>
          <w:tcPr>
            <w:tcW w:w="1879"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b/>
                <w:bCs/>
                <w:snapToGrid w:val="0"/>
                <w:color w:val="auto"/>
                <w:kern w:val="2"/>
                <w:sz w:val="21"/>
                <w:szCs w:val="21"/>
                <w:highlight w:val="none"/>
                <w:vertAlign w:val="baseline"/>
                <w:lang w:val="en-US" w:eastAsia="zh-CN" w:bidi="ar-SA"/>
              </w:rPr>
            </w:pPr>
            <w:r>
              <w:rPr>
                <w:rFonts w:hint="default" w:ascii="Times New Roman" w:hAnsi="Times New Roman" w:eastAsia="仿宋_GB2312" w:cs="仿宋_GB2312"/>
                <w:b/>
                <w:bCs/>
                <w:snapToGrid w:val="0"/>
                <w:color w:val="auto"/>
                <w:kern w:val="2"/>
                <w:sz w:val="21"/>
                <w:szCs w:val="21"/>
                <w:highlight w:val="none"/>
                <w:vertAlign w:val="baseline"/>
                <w:lang w:val="en" w:eastAsia="zh-CN" w:bidi="ar-SA"/>
              </w:rPr>
              <w:t>10</w:t>
            </w:r>
            <w:r>
              <w:rPr>
                <w:rFonts w:hint="eastAsia" w:eastAsia="仿宋_GB2312" w:cs="仿宋_GB2312"/>
                <w:b/>
                <w:bCs/>
                <w:snapToGrid w:val="0"/>
                <w:color w:val="auto"/>
                <w:kern w:val="2"/>
                <w:sz w:val="21"/>
                <w:szCs w:val="21"/>
                <w:highlight w:val="none"/>
                <w:vertAlign w:val="baseline"/>
                <w:lang w:val="en-US" w:eastAsia="zh-CN" w:bidi="ar-SA"/>
              </w:rPr>
              <w:t>0.</w:t>
            </w:r>
            <w:r>
              <w:rPr>
                <w:rFonts w:hint="default" w:ascii="Times New Roman" w:hAnsi="Times New Roman" w:eastAsia="仿宋_GB2312" w:cs="仿宋_GB2312"/>
                <w:b/>
                <w:bCs/>
                <w:snapToGrid w:val="0"/>
                <w:color w:val="auto"/>
                <w:kern w:val="2"/>
                <w:sz w:val="21"/>
                <w:szCs w:val="21"/>
                <w:highlight w:val="none"/>
                <w:vertAlign w:val="baseline"/>
                <w:lang w:val="en" w:eastAsia="zh-CN" w:bidi="ar-S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第二产业</w:t>
            </w:r>
          </w:p>
        </w:tc>
        <w:tc>
          <w:tcPr>
            <w:tcW w:w="19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 w:eastAsia="zh-CN"/>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21151</w:t>
            </w:r>
          </w:p>
        </w:tc>
        <w:tc>
          <w:tcPr>
            <w:tcW w:w="1879"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snapToGrid w:val="0"/>
                <w:color w:val="000000"/>
                <w:kern w:val="2"/>
                <w:sz w:val="21"/>
                <w:szCs w:val="21"/>
                <w:highlight w:val="none"/>
                <w:vertAlign w:val="baseline"/>
                <w:lang w:val="en" w:eastAsia="zh-CN" w:bidi="ar-SA"/>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7" w:hRule="atLeast"/>
          <w:jc w:val="center"/>
        </w:trPr>
        <w:tc>
          <w:tcPr>
            <w:tcW w:w="27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第三产业</w:t>
            </w:r>
          </w:p>
        </w:tc>
        <w:tc>
          <w:tcPr>
            <w:tcW w:w="190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cs="宋体"/>
                <w:color w:val="000000"/>
                <w:sz w:val="21"/>
                <w:szCs w:val="21"/>
                <w:highlight w:val="none"/>
                <w:lang w:val="en" w:eastAsia="zh-CN"/>
              </w:rPr>
            </w:pPr>
            <w:r>
              <w:rPr>
                <w:rFonts w:hint="default" w:ascii="Times New Roman" w:hAnsi="Times New Roman" w:cs="宋体"/>
                <w:color w:val="000000"/>
                <w:sz w:val="21"/>
                <w:szCs w:val="21"/>
                <w:highlight w:val="none"/>
                <w:lang w:val="en" w:eastAsia="zh-CN"/>
              </w:rPr>
              <w:t>289755</w:t>
            </w:r>
          </w:p>
        </w:tc>
        <w:tc>
          <w:tcPr>
            <w:tcW w:w="187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eastAsia" w:ascii="Times New Roman" w:hAnsi="Times New Roman" w:eastAsia="仿宋_GB2312" w:cs="仿宋_GB2312"/>
                <w:snapToGrid w:val="0"/>
                <w:color w:val="000000"/>
                <w:kern w:val="2"/>
                <w:sz w:val="21"/>
                <w:szCs w:val="21"/>
                <w:highlight w:val="none"/>
                <w:vertAlign w:val="baseline"/>
                <w:lang w:val="en" w:eastAsia="zh-CN" w:bidi="ar-SA"/>
              </w:rPr>
            </w:pPr>
            <w:r>
              <w:rPr>
                <w:rFonts w:hint="default" w:ascii="Times New Roman" w:hAnsi="Times New Roman" w:eastAsia="仿宋_GB2312" w:cs="仿宋_GB2312"/>
                <w:snapToGrid w:val="0"/>
                <w:color w:val="000000"/>
                <w:kern w:val="2"/>
                <w:sz w:val="21"/>
                <w:szCs w:val="21"/>
                <w:highlight w:val="none"/>
                <w:vertAlign w:val="baseline"/>
                <w:lang w:val="en" w:eastAsia="zh-CN" w:bidi="ar-SA"/>
              </w:rPr>
              <w:t>93.2</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在第二产业和第三产业法人单位中，位居前三位的行业是：批发和零售业</w:t>
      </w:r>
      <w:r>
        <w:rPr>
          <w:rFonts w:hint="eastAsia" w:ascii="仿宋" w:hAnsi="仿宋" w:eastAsia="仿宋" w:cs="仿宋"/>
          <w:color w:val="000000"/>
          <w:kern w:val="2"/>
          <w:sz w:val="32"/>
          <w:szCs w:val="32"/>
          <w:u w:val="none"/>
          <w:lang w:val="en" w:eastAsia="zh-CN" w:bidi="ar-SA"/>
        </w:rPr>
        <w:t>43341</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33.8</w:t>
      </w:r>
      <w:r>
        <w:rPr>
          <w:rFonts w:hint="eastAsia" w:ascii="仿宋" w:hAnsi="仿宋" w:eastAsia="仿宋" w:cs="仿宋"/>
          <w:color w:val="000000"/>
          <w:kern w:val="2"/>
          <w:sz w:val="32"/>
          <w:szCs w:val="32"/>
          <w:u w:val="none"/>
          <w:lang w:val="en-US" w:eastAsia="zh-CN" w:bidi="ar-SA"/>
        </w:rPr>
        <w:t>%；制造业</w:t>
      </w:r>
      <w:r>
        <w:rPr>
          <w:rFonts w:hint="eastAsia" w:ascii="仿宋" w:hAnsi="仿宋" w:eastAsia="仿宋" w:cs="仿宋"/>
          <w:color w:val="000000"/>
          <w:kern w:val="2"/>
          <w:sz w:val="32"/>
          <w:szCs w:val="32"/>
          <w:u w:val="none"/>
          <w:lang w:val="en" w:eastAsia="zh-CN" w:bidi="ar-SA"/>
        </w:rPr>
        <w:t>199</w:t>
      </w:r>
      <w:r>
        <w:rPr>
          <w:rFonts w:hint="eastAsia" w:ascii="仿宋" w:hAnsi="仿宋" w:eastAsia="仿宋" w:cs="仿宋"/>
          <w:color w:val="000000"/>
          <w:kern w:val="2"/>
          <w:sz w:val="32"/>
          <w:szCs w:val="32"/>
          <w:u w:val="none"/>
          <w:lang w:val="en-US" w:eastAsia="zh-CN" w:bidi="ar-SA"/>
        </w:rPr>
        <w:t>97个，占</w:t>
      </w:r>
      <w:r>
        <w:rPr>
          <w:rFonts w:hint="eastAsia" w:ascii="仿宋" w:hAnsi="仿宋" w:eastAsia="仿宋" w:cs="仿宋"/>
          <w:color w:val="000000"/>
          <w:kern w:val="2"/>
          <w:sz w:val="32"/>
          <w:szCs w:val="32"/>
          <w:u w:val="none"/>
          <w:lang w:val="en" w:eastAsia="zh-CN" w:bidi="ar-SA"/>
        </w:rPr>
        <w:t>15.6</w:t>
      </w:r>
      <w:r>
        <w:rPr>
          <w:rFonts w:hint="eastAsia" w:ascii="仿宋" w:hAnsi="仿宋" w:eastAsia="仿宋" w:cs="仿宋"/>
          <w:color w:val="000000"/>
          <w:kern w:val="2"/>
          <w:sz w:val="32"/>
          <w:szCs w:val="32"/>
          <w:u w:val="none"/>
          <w:lang w:val="en-US" w:eastAsia="zh-CN" w:bidi="ar-SA"/>
        </w:rPr>
        <w:t>%；租赁和商务服务业</w:t>
      </w:r>
      <w:r>
        <w:rPr>
          <w:rFonts w:hint="eastAsia" w:ascii="仿宋" w:hAnsi="仿宋" w:eastAsia="仿宋" w:cs="仿宋"/>
          <w:color w:val="000000"/>
          <w:kern w:val="2"/>
          <w:sz w:val="32"/>
          <w:szCs w:val="32"/>
          <w:u w:val="none"/>
          <w:lang w:val="en" w:eastAsia="zh-CN" w:bidi="ar-SA"/>
        </w:rPr>
        <w:t>11859</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9.2</w:t>
      </w:r>
      <w:r>
        <w:rPr>
          <w:rFonts w:hint="eastAsia" w:ascii="仿宋" w:hAnsi="仿宋" w:eastAsia="仿宋" w:cs="仿宋"/>
          <w:color w:val="000000"/>
          <w:kern w:val="2"/>
          <w:sz w:val="32"/>
          <w:szCs w:val="32"/>
          <w:u w:val="none"/>
          <w:lang w:val="en-US" w:eastAsia="zh-CN" w:bidi="ar-SA"/>
        </w:rPr>
        <w:t>%。在个体经营户中，位居前三位的行业是：批发和零售业</w:t>
      </w:r>
      <w:r>
        <w:rPr>
          <w:rFonts w:hint="eastAsia" w:ascii="仿宋" w:hAnsi="仿宋" w:eastAsia="仿宋" w:cs="仿宋"/>
          <w:color w:val="000000"/>
          <w:kern w:val="2"/>
          <w:sz w:val="32"/>
          <w:szCs w:val="32"/>
          <w:u w:val="none"/>
          <w:lang w:val="en" w:eastAsia="zh-CN" w:bidi="ar-SA"/>
        </w:rPr>
        <w:t>167770</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54.0</w:t>
      </w:r>
      <w:r>
        <w:rPr>
          <w:rFonts w:hint="eastAsia" w:ascii="仿宋" w:hAnsi="仿宋" w:eastAsia="仿宋" w:cs="仿宋"/>
          <w:color w:val="000000"/>
          <w:kern w:val="2"/>
          <w:sz w:val="32"/>
          <w:szCs w:val="32"/>
          <w:u w:val="none"/>
          <w:lang w:val="en-US" w:eastAsia="zh-CN" w:bidi="ar-SA"/>
        </w:rPr>
        <w:t>%；住宿和餐饮业</w:t>
      </w:r>
      <w:r>
        <w:rPr>
          <w:rFonts w:hint="eastAsia" w:ascii="仿宋" w:hAnsi="仿宋" w:eastAsia="仿宋" w:cs="仿宋"/>
          <w:color w:val="000000"/>
          <w:kern w:val="2"/>
          <w:sz w:val="32"/>
          <w:szCs w:val="32"/>
          <w:u w:val="none"/>
          <w:lang w:val="en" w:eastAsia="zh-CN" w:bidi="ar-SA"/>
        </w:rPr>
        <w:t>42659</w:t>
      </w:r>
      <w:r>
        <w:rPr>
          <w:rFonts w:hint="eastAsia" w:ascii="仿宋" w:hAnsi="仿宋" w:eastAsia="仿宋" w:cs="仿宋"/>
          <w:color w:val="000000"/>
          <w:kern w:val="2"/>
          <w:sz w:val="32"/>
          <w:szCs w:val="32"/>
          <w:u w:val="none"/>
          <w:lang w:val="en-US" w:eastAsia="zh-CN" w:bidi="ar-SA"/>
        </w:rPr>
        <w:t>个，占</w:t>
      </w:r>
      <w:r>
        <w:rPr>
          <w:rFonts w:hint="eastAsia" w:ascii="仿宋" w:hAnsi="仿宋" w:eastAsia="仿宋" w:cs="仿宋"/>
          <w:color w:val="000000"/>
          <w:kern w:val="2"/>
          <w:sz w:val="32"/>
          <w:szCs w:val="32"/>
          <w:u w:val="none"/>
          <w:lang w:val="en" w:eastAsia="zh-CN" w:bidi="ar-SA"/>
        </w:rPr>
        <w:t>13.7</w:t>
      </w:r>
      <w:r>
        <w:rPr>
          <w:rFonts w:hint="eastAsia" w:ascii="仿宋" w:hAnsi="仿宋" w:eastAsia="仿宋" w:cs="仿宋"/>
          <w:color w:val="000000"/>
          <w:kern w:val="2"/>
          <w:sz w:val="32"/>
          <w:szCs w:val="32"/>
          <w:u w:val="none"/>
          <w:lang w:val="en-US" w:eastAsia="zh-CN" w:bidi="ar-SA"/>
        </w:rPr>
        <w:t>%；居民服务、修理和其他服务业</w:t>
      </w:r>
      <w:r>
        <w:rPr>
          <w:rFonts w:hint="eastAsia" w:ascii="仿宋" w:hAnsi="仿宋" w:eastAsia="仿宋" w:cs="仿宋"/>
          <w:color w:val="000000"/>
          <w:kern w:val="2"/>
          <w:sz w:val="32"/>
          <w:szCs w:val="32"/>
          <w:u w:val="none"/>
          <w:lang w:val="en" w:eastAsia="zh-CN" w:bidi="ar-SA"/>
        </w:rPr>
        <w:t>33538</w:t>
      </w:r>
      <w:r>
        <w:rPr>
          <w:rFonts w:hint="eastAsia" w:ascii="仿宋" w:hAnsi="仿宋" w:eastAsia="仿宋" w:cs="仿宋"/>
          <w:color w:val="000000"/>
          <w:kern w:val="2"/>
          <w:sz w:val="32"/>
          <w:szCs w:val="32"/>
          <w:u w:val="none"/>
          <w:lang w:val="en-US" w:eastAsia="zh-CN" w:bidi="ar-SA"/>
        </w:rPr>
        <w:t>个，占10.</w:t>
      </w:r>
      <w:r>
        <w:rPr>
          <w:rFonts w:hint="eastAsia" w:ascii="仿宋" w:hAnsi="仿宋" w:eastAsia="仿宋" w:cs="仿宋"/>
          <w:color w:val="000000"/>
          <w:kern w:val="2"/>
          <w:sz w:val="32"/>
          <w:szCs w:val="32"/>
          <w:u w:val="none"/>
          <w:lang w:val="en" w:eastAsia="zh-CN" w:bidi="ar-SA"/>
        </w:rPr>
        <w:t>8</w:t>
      </w:r>
      <w:r>
        <w:rPr>
          <w:rFonts w:hint="eastAsia" w:ascii="仿宋" w:hAnsi="仿宋" w:eastAsia="仿宋" w:cs="仿宋"/>
          <w:color w:val="000000"/>
          <w:kern w:val="2"/>
          <w:sz w:val="32"/>
          <w:szCs w:val="32"/>
          <w:u w:val="none"/>
          <w:lang w:val="en-US" w:eastAsia="zh-CN" w:bidi="ar-SA"/>
        </w:rPr>
        <w:t>%</w:t>
      </w:r>
      <w:r>
        <w:rPr>
          <w:rFonts w:hint="eastAsia" w:ascii="仿宋" w:hAnsi="仿宋" w:eastAsia="仿宋" w:cs="仿宋"/>
          <w:i w:val="0"/>
          <w:caps w:val="0"/>
          <w:color w:val="000000"/>
          <w:spacing w:val="0"/>
          <w:kern w:val="0"/>
          <w:sz w:val="32"/>
          <w:szCs w:val="32"/>
          <w:shd w:val="clear" w:color="auto" w:fill="FFFFFF"/>
          <w:lang w:val="en-US" w:eastAsia="zh-CN" w:bidi="ar"/>
        </w:rPr>
        <w:t>（详见表2-2）。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表2-2　按行业门类分组的法人单位数与个体经营户数</w:t>
      </w:r>
    </w:p>
    <w:tbl>
      <w:tblPr>
        <w:tblStyle w:val="22"/>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1397"/>
        <w:gridCol w:w="1140"/>
        <w:gridCol w:w="1356"/>
        <w:gridCol w:w="11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宋体" w:cs="宋体"/>
                <w:color w:val="000000"/>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个体经营户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imes New Roman" w:hAnsi="Times New Roman" w:eastAsia="宋体" w:cs="宋体"/>
                <w:color w:val="000000"/>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b/>
                <w:bCs/>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1283</w:t>
            </w:r>
            <w:r>
              <w:rPr>
                <w:rFonts w:hint="eastAsia" w:ascii="宋体" w:hAnsi="宋体" w:cs="宋体"/>
                <w:i w:val="0"/>
                <w:color w:val="000000"/>
                <w:kern w:val="0"/>
                <w:sz w:val="22"/>
                <w:szCs w:val="22"/>
                <w:u w:val="none"/>
                <w:lang w:val="en-US" w:eastAsia="zh-CN" w:bidi="ar"/>
              </w:rPr>
              <w:t>70</w:t>
            </w:r>
          </w:p>
        </w:tc>
        <w:tc>
          <w:tcPr>
            <w:tcW w:w="1140" w:type="dxa"/>
            <w:tcBorders>
              <w:top w:val="single" w:color="auto" w:sz="4" w:space="0"/>
              <w:left w:val="single" w:color="auto" w:sz="4" w:space="0"/>
              <w:bottom w:val="nil"/>
              <w:right w:val="single" w:color="auto" w:sz="4" w:space="0"/>
            </w:tcBorders>
            <w:noWrap w:val="0"/>
            <w:vAlign w:val="center"/>
          </w:tcPr>
          <w:p>
            <w:pPr>
              <w:jc w:val="right"/>
              <w:rPr>
                <w:rFonts w:hint="default" w:ascii="Times New Roman" w:hAnsi="Times New Roman" w:eastAsia="宋体" w:cs="宋体"/>
                <w:b/>
                <w:bCs/>
                <w:i w:val="0"/>
                <w:color w:val="000000"/>
                <w:kern w:val="2"/>
                <w:sz w:val="21"/>
                <w:szCs w:val="21"/>
                <w:highlight w:val="none"/>
                <w:u w:val="none"/>
                <w:lang w:val="en-US" w:eastAsia="zh-CN" w:bidi="ar-SA"/>
              </w:rPr>
            </w:pPr>
            <w:r>
              <w:rPr>
                <w:rFonts w:hint="default" w:ascii="宋体" w:hAnsi="宋体" w:eastAsia="宋体" w:cs="宋体"/>
                <w:b/>
                <w:i w:val="0"/>
                <w:color w:val="000000"/>
                <w:sz w:val="21"/>
                <w:szCs w:val="21"/>
                <w:u w:val="none"/>
                <w:lang w:val="en"/>
              </w:rPr>
              <w:t>100</w:t>
            </w:r>
            <w:r>
              <w:rPr>
                <w:rFonts w:hint="eastAsia" w:ascii="宋体" w:hAnsi="宋体" w:cs="宋体"/>
                <w:b/>
                <w:i w:val="0"/>
                <w:color w:val="000000"/>
                <w:sz w:val="21"/>
                <w:szCs w:val="21"/>
                <w:u w:val="none"/>
                <w:lang w:val="en-US" w:eastAsia="zh-CN"/>
              </w:rPr>
              <w:t>.0</w:t>
            </w:r>
          </w:p>
        </w:tc>
        <w:tc>
          <w:tcPr>
            <w:tcW w:w="1356"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i w:val="0"/>
                <w:color w:val="000000"/>
                <w:kern w:val="2"/>
                <w:sz w:val="21"/>
                <w:szCs w:val="21"/>
                <w:highlight w:val="none"/>
                <w:u w:val="none"/>
                <w:lang w:val="en-US" w:eastAsia="zh-CN" w:bidi="ar-SA"/>
              </w:rPr>
            </w:pPr>
            <w:r>
              <w:rPr>
                <w:rFonts w:hint="eastAsia" w:ascii="宋体" w:hAnsi="宋体" w:eastAsia="宋体" w:cs="宋体"/>
                <w:b/>
                <w:i w:val="0"/>
                <w:color w:val="000000"/>
                <w:kern w:val="0"/>
                <w:sz w:val="21"/>
                <w:szCs w:val="21"/>
                <w:u w:val="none"/>
                <w:lang w:val="en-US" w:eastAsia="zh-CN" w:bidi="ar"/>
              </w:rPr>
              <w:t>310906</w:t>
            </w:r>
          </w:p>
        </w:tc>
        <w:tc>
          <w:tcPr>
            <w:tcW w:w="1147" w:type="dxa"/>
            <w:tcBorders>
              <w:top w:val="single" w:color="auto" w:sz="4" w:space="0"/>
              <w:left w:val="single" w:color="auto" w:sz="4" w:space="0"/>
              <w:bottom w:val="nil"/>
              <w:right w:val="nil"/>
            </w:tcBorders>
            <w:noWrap w:val="0"/>
            <w:vAlign w:val="center"/>
          </w:tcPr>
          <w:p>
            <w:pPr>
              <w:jc w:val="right"/>
              <w:rPr>
                <w:rFonts w:hint="default" w:ascii="Times New Roman" w:hAnsi="Times New Roman" w:eastAsia="宋体" w:cs="宋体"/>
                <w:b/>
                <w:bCs/>
                <w:color w:val="000000"/>
                <w:kern w:val="2"/>
                <w:sz w:val="21"/>
                <w:szCs w:val="21"/>
                <w:highlight w:val="none"/>
                <w:lang w:val="en-US" w:eastAsia="zh-CN" w:bidi="ar-SA"/>
              </w:rPr>
            </w:pPr>
            <w:r>
              <w:rPr>
                <w:rFonts w:hint="default" w:ascii="宋体" w:hAnsi="宋体" w:eastAsia="宋体" w:cs="宋体"/>
                <w:b/>
                <w:i w:val="0"/>
                <w:color w:val="000000"/>
                <w:sz w:val="21"/>
                <w:szCs w:val="21"/>
                <w:u w:val="none"/>
                <w:lang w:val="en"/>
              </w:rPr>
              <w:t>100</w:t>
            </w:r>
            <w:r>
              <w:rPr>
                <w:rFonts w:hint="eastAsia" w:ascii="宋体" w:hAnsi="宋体" w:cs="宋体"/>
                <w:b/>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1879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1.5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3364</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130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199</w:t>
            </w:r>
            <w:r>
              <w:rPr>
                <w:rFonts w:hint="eastAsia" w:ascii="宋体" w:hAnsi="宋体" w:cs="宋体"/>
                <w:i w:val="0"/>
                <w:color w:val="000000"/>
                <w:kern w:val="0"/>
                <w:sz w:val="22"/>
                <w:szCs w:val="22"/>
                <w:u w:val="none"/>
                <w:lang w:val="en-US" w:eastAsia="zh-CN" w:bidi="ar"/>
              </w:rPr>
              <w:t>97</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15.6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13719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499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117</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14280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8333</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 w:eastAsia="zh-CN" w:bidi="ar-SA"/>
              </w:rPr>
            </w:pPr>
            <w:r>
              <w:rPr>
                <w:rFonts w:hint="eastAsia" w:ascii="宋体" w:hAnsi="宋体" w:eastAsia="宋体" w:cs="宋体"/>
                <w:i w:val="0"/>
                <w:color w:val="000000"/>
                <w:kern w:val="0"/>
                <w:sz w:val="21"/>
                <w:szCs w:val="21"/>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43341</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33.8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167770</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54.0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2600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24209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7.8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1410</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42659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13.7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4287</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3.3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1606</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114</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3375</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1220</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11859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9.2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5774</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5083</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4.0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1073</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798</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0.6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241</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2182</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1.7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33538</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4455</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3.5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1196</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2321</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1.8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2999</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2609</w:t>
            </w:r>
          </w:p>
        </w:tc>
        <w:tc>
          <w:tcPr>
            <w:tcW w:w="1140"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2.0 </w:t>
            </w:r>
          </w:p>
        </w:tc>
        <w:tc>
          <w:tcPr>
            <w:tcW w:w="135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3088</w:t>
            </w:r>
          </w:p>
        </w:tc>
        <w:tc>
          <w:tcPr>
            <w:tcW w:w="114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7151</w:t>
            </w:r>
          </w:p>
        </w:tc>
        <w:tc>
          <w:tcPr>
            <w:tcW w:w="1140"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5.6 </w:t>
            </w:r>
          </w:p>
        </w:tc>
        <w:tc>
          <w:tcPr>
            <w:tcW w:w="1356"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宋体" w:hAnsi="宋体" w:cs="宋体"/>
                <w:i w:val="0"/>
                <w:color w:val="000000"/>
                <w:kern w:val="0"/>
                <w:sz w:val="21"/>
                <w:szCs w:val="21"/>
                <w:u w:val="none"/>
                <w:lang w:val="en-US" w:eastAsia="zh-CN" w:bidi="ar"/>
              </w:rPr>
              <w:t>-</w:t>
            </w:r>
          </w:p>
        </w:tc>
        <w:tc>
          <w:tcPr>
            <w:tcW w:w="1147"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jc w:val="both"/>
              <w:textAlignment w:val="auto"/>
              <w:rPr>
                <w:rFonts w:hint="default" w:ascii="Times New Roman" w:hAnsi="Times New Roman" w:eastAsia="仿宋_GB2312" w:cs="仿宋_GB2312"/>
                <w:color w:val="000000"/>
                <w:sz w:val="21"/>
                <w:szCs w:val="21"/>
                <w:highlight w:val="none"/>
                <w:lang w:val="en-US"/>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二、从业人员</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第二产业和第三产业法人单位从业人员1638742人，其中女性从业人员669326人。第二产业的从业人员为812570人，占49.6%；第三产业的从业人员为826172人，占50.4%。个体经营户从业人员695480人，其中女性从业人员338368人。</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sz w:val="32"/>
          <w:szCs w:val="32"/>
          <w:lang w:val="en-US" w:eastAsia="zh-CN"/>
        </w:rPr>
      </w:pPr>
      <w:r>
        <w:rPr>
          <w:rFonts w:hint="eastAsia" w:ascii="仿宋" w:hAnsi="仿宋" w:eastAsia="仿宋" w:cs="仿宋"/>
          <w:color w:val="000000"/>
          <w:kern w:val="2"/>
          <w:sz w:val="32"/>
          <w:szCs w:val="32"/>
          <w:u w:val="none"/>
          <w:lang w:val="en-US" w:eastAsia="zh-CN" w:bidi="ar-SA"/>
        </w:rPr>
        <w:t>在第二产业和第三产业法人单位从业人员中，位居前三位的行业是：制造业537127人，占32.8%；建筑业252840人，占15.4%；批发和零售业214816人，占13.1%。在个体经营户从业人员中，位居前三位的行业是：批发和零售业283811 人，占40.8%；住宿和餐饮业88266人，占12.7%；居民服务、修理和其他服务业84973 人，占12.2%（详见表2-3）。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表2-3　按行业门类分组的法人单位与个体经营户从业人员</w:t>
      </w:r>
    </w:p>
    <w:tbl>
      <w:tblPr>
        <w:tblStyle w:val="22"/>
        <w:tblW w:w="884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589"/>
        <w:gridCol w:w="1313"/>
        <w:gridCol w:w="1313"/>
        <w:gridCol w:w="1313"/>
        <w:gridCol w:w="13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170" w:hRule="atLeast"/>
          <w:jc w:val="center"/>
        </w:trPr>
        <w:tc>
          <w:tcPr>
            <w:tcW w:w="3589" w:type="dxa"/>
            <w:vMerge w:val="restart"/>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jc w:val="both"/>
              <w:textAlignment w:val="auto"/>
              <w:rPr>
                <w:rFonts w:hint="eastAsia" w:ascii="Times New Roman" w:hAnsi="Times New Roman" w:eastAsia="宋体" w:cs="宋体"/>
                <w:color w:val="000000"/>
                <w:sz w:val="21"/>
                <w:szCs w:val="21"/>
                <w:highlight w:val="none"/>
              </w:rPr>
            </w:pPr>
          </w:p>
        </w:tc>
        <w:tc>
          <w:tcPr>
            <w:tcW w:w="1313" w:type="dxa"/>
            <w:vMerge w:val="restart"/>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c>
          <w:tcPr>
            <w:tcW w:w="1313"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vMerge w:val="restart"/>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个体经营户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c>
          <w:tcPr>
            <w:tcW w:w="1313" w:type="dxa"/>
            <w:tcBorders>
              <w:top w:val="single" w:color="auto" w:sz="12" w:space="0"/>
              <w:left w:val="nil"/>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475" w:hRule="atLeast"/>
          <w:jc w:val="center"/>
        </w:trPr>
        <w:tc>
          <w:tcPr>
            <w:tcW w:w="3589"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6" w:leftChars="0" w:right="6" w:rightChars="0"/>
              <w:jc w:val="both"/>
              <w:textAlignment w:val="auto"/>
              <w:rPr>
                <w:rFonts w:hint="eastAsia" w:ascii="Times New Roman" w:hAnsi="Times New Roman" w:eastAsia="宋体" w:cs="宋体"/>
                <w:color w:val="000000"/>
                <w:sz w:val="21"/>
                <w:szCs w:val="21"/>
                <w:highlight w:val="none"/>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其中：女性</w:t>
            </w: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leftChars="0" w:right="0" w:rightChars="0"/>
              <w:jc w:val="center"/>
              <w:textAlignment w:val="auto"/>
              <w:rPr>
                <w:rFonts w:hint="eastAsia" w:ascii="Times New Roman" w:hAnsi="Times New Roman" w:eastAsia="宋体" w:cs="宋体"/>
                <w:b/>
                <w:bCs/>
                <w:color w:val="000000"/>
                <w:sz w:val="21"/>
                <w:szCs w:val="21"/>
                <w:highlight w:val="none"/>
              </w:rPr>
            </w:pPr>
          </w:p>
        </w:tc>
        <w:tc>
          <w:tcPr>
            <w:tcW w:w="1313" w:type="dxa"/>
            <w:tcBorders>
              <w:top w:val="single" w:color="auto" w:sz="4"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1638742</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b/>
                <w:bCs w:val="0"/>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669326</w:t>
            </w:r>
          </w:p>
        </w:tc>
        <w:tc>
          <w:tcPr>
            <w:tcW w:w="131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695480</w:t>
            </w:r>
          </w:p>
        </w:tc>
        <w:tc>
          <w:tcPr>
            <w:tcW w:w="1313" w:type="dxa"/>
            <w:tcBorders>
              <w:top w:val="single" w:color="auto" w:sz="4" w:space="0"/>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338368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7478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2516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9167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3501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11151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1296</w:t>
            </w:r>
          </w:p>
        </w:tc>
        <w:tc>
          <w:tcPr>
            <w:tcW w:w="1313" w:type="dxa"/>
            <w:tcBorders>
              <w:top w:val="nil"/>
              <w:left w:val="single" w:color="auto" w:sz="4" w:space="0"/>
              <w:bottom w:val="nil"/>
              <w:right w:val="single" w:color="auto" w:sz="4" w:space="0"/>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nil"/>
              <w:right w:val="nil"/>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537127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210824</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57379</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24738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14557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4711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617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252840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54668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39307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7815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214816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98745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283811</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154435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33521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10235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80771</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18737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12420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7365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88266</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52443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29982</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13197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4717</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2381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27069</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16374</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36107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16880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3094</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1643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94288</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36043</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15262</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6028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39305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15521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2649</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13260</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5767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宋体"/>
                <w:i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716</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15952</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7595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84973</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51086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117477</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81426</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4505</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3087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56885</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37881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9178</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5292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17359</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8411</w:t>
            </w:r>
          </w:p>
        </w:tc>
        <w:tc>
          <w:tcPr>
            <w:tcW w:w="1313" w:type="dxa"/>
            <w:tcBorders>
              <w:top w:val="nil"/>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11068</w:t>
            </w:r>
          </w:p>
        </w:tc>
        <w:tc>
          <w:tcPr>
            <w:tcW w:w="1313" w:type="dxa"/>
            <w:tcBorders>
              <w:top w:val="nil"/>
              <w:left w:val="single" w:color="auto" w:sz="4" w:space="0"/>
              <w:bottom w:val="nil"/>
              <w:right w:val="nil"/>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2"/>
                <w:sz w:val="21"/>
                <w:szCs w:val="21"/>
                <w:highlight w:val="none"/>
                <w:u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5585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89"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6"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131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107148</w:t>
            </w:r>
          </w:p>
        </w:tc>
        <w:tc>
          <w:tcPr>
            <w:tcW w:w="131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39871</w:t>
            </w:r>
          </w:p>
        </w:tc>
        <w:tc>
          <w:tcPr>
            <w:tcW w:w="1313" w:type="dxa"/>
            <w:tcBorders>
              <w:top w:val="nil"/>
              <w:left w:val="single" w:color="auto" w:sz="4" w:space="0"/>
              <w:bottom w:val="single" w:color="auto" w:sz="12" w:space="0"/>
              <w:right w:val="single" w:color="auto" w:sz="4" w:space="0"/>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c>
          <w:tcPr>
            <w:tcW w:w="1313" w:type="dxa"/>
            <w:tcBorders>
              <w:top w:val="nil"/>
              <w:left w:val="single" w:color="auto" w:sz="4" w:space="0"/>
              <w:bottom w:val="single" w:color="auto" w:sz="12" w:space="0"/>
              <w:right w:val="nil"/>
            </w:tcBorders>
            <w:vAlign w:val="center"/>
          </w:tcPr>
          <w:p>
            <w:pPr>
              <w:jc w:val="right"/>
              <w:rPr>
                <w:rFonts w:hint="default" w:ascii="Times New Roman" w:hAnsi="Times New Roman" w:eastAsia="宋体" w:cs="宋体"/>
                <w:i w:val="0"/>
                <w:color w:val="000000"/>
                <w:kern w:val="2"/>
                <w:sz w:val="21"/>
                <w:szCs w:val="21"/>
                <w:highlight w:val="none"/>
                <w:u w:val="none"/>
                <w:lang w:val="en-US" w:eastAsia="zh-CN" w:bidi="ar-SA"/>
              </w:rPr>
            </w:pPr>
            <w:r>
              <w:rPr>
                <w:rFonts w:hint="eastAsia" w:cs="宋体"/>
                <w:i w:val="0"/>
                <w:color w:val="000000"/>
                <w:kern w:val="2"/>
                <w:sz w:val="21"/>
                <w:szCs w:val="21"/>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8841" w:type="dxa"/>
            <w:gridSpan w:val="5"/>
            <w:tcBorders>
              <w:top w:val="single" w:color="auto" w:sz="12" w:space="0"/>
              <w:left w:val="nil"/>
              <w:bottom w:val="nil"/>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6" w:right="6"/>
              <w:jc w:val="both"/>
              <w:textAlignment w:val="auto"/>
              <w:rPr>
                <w:rFonts w:hint="eastAsia" w:ascii="Times New Roman" w:hAnsi="Times New Roman" w:eastAsia="仿宋_GB2312" w:cs="仿宋_GB2312"/>
                <w:color w:val="000000"/>
                <w:sz w:val="21"/>
                <w:szCs w:val="21"/>
                <w:highlight w:val="none"/>
              </w:rPr>
            </w:pPr>
            <w:r>
              <w:rPr>
                <w:rFonts w:hint="eastAsia" w:ascii="Times New Roman" w:hAnsi="Times New Roman" w:eastAsia="楷体" w:cs="楷体"/>
                <w:color w:val="000000"/>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三、资产负债状况和营业收入</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2023年末，全市第二产业和第三产业法人单位资产总计19652.88亿元。其中，第二产业法人单位资产总计6065.31亿元，第三产业法人单位资产总计13587.57亿元。</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2023年末，全市第二产业和第三产业法人单位负债合计7256.31亿元。其中，第二产业法人单位负债合计3122.86亿元，第三产业法人单位负债合计4133.45亿元。</w:t>
      </w:r>
    </w:p>
    <w:p>
      <w:pPr>
        <w:pStyle w:val="21"/>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2023年，全市第二产业和第三产业企业法人单位实现营业收入8603.33亿元。其中，第二产业营业收入5259.66亿元，第三产业营业收入3343.67亿元（详见表2-4）</w:t>
      </w:r>
      <w:r>
        <w:rPr>
          <w:rFonts w:hint="eastAsia" w:ascii="仿宋" w:hAnsi="仿宋" w:eastAsia="仿宋" w:cs="仿宋"/>
          <w:color w:val="000000"/>
          <w:kern w:val="2"/>
          <w:sz w:val="32"/>
          <w:szCs w:val="32"/>
          <w:u w:val="none"/>
          <w:lang w:val="en-US" w:eastAsia="zh-CN" w:bidi="ar-SA"/>
        </w:rPr>
        <w:t>。</w:t>
      </w:r>
    </w:p>
    <w:p>
      <w:pPr>
        <w:jc w:val="center"/>
        <w:rPr>
          <w:rFonts w:hint="eastAsia" w:ascii="仿宋" w:hAnsi="仿宋" w:eastAsia="仿宋" w:cs="仿宋"/>
          <w:color w:val="000000"/>
          <w:kern w:val="2"/>
          <w:sz w:val="32"/>
          <w:szCs w:val="32"/>
          <w:u w:val="none"/>
          <w:lang w:val="en-US" w:eastAsia="zh-CN" w:bidi="ar-SA"/>
        </w:rPr>
      </w:pPr>
      <w:r>
        <w:rPr>
          <w:rFonts w:hint="eastAsia" w:ascii="Times New Roman" w:hAnsi="Times New Roman" w:eastAsia="宋体" w:cs="宋体"/>
          <w:b/>
          <w:i w:val="0"/>
          <w:caps w:val="0"/>
          <w:color w:val="000000"/>
          <w:spacing w:val="0"/>
          <w:kern w:val="0"/>
          <w:sz w:val="24"/>
          <w:szCs w:val="24"/>
          <w:highlight w:val="none"/>
          <w:lang w:val="en-US" w:eastAsia="zh-CN" w:bidi="ar"/>
        </w:rPr>
        <w:t>表2-</w:t>
      </w:r>
      <w:r>
        <w:rPr>
          <w:rFonts w:hint="eastAsia" w:cs="宋体"/>
          <w:b/>
          <w:i w:val="0"/>
          <w:caps w:val="0"/>
          <w:color w:val="000000"/>
          <w:spacing w:val="0"/>
          <w:kern w:val="0"/>
          <w:sz w:val="24"/>
          <w:szCs w:val="24"/>
          <w:highlight w:val="none"/>
          <w:lang w:val="en-US" w:eastAsia="zh-CN" w:bidi="ar"/>
        </w:rPr>
        <w:t>4</w:t>
      </w:r>
      <w:r>
        <w:rPr>
          <w:rFonts w:hint="eastAsia" w:ascii="Times New Roman" w:hAnsi="Times New Roman" w:eastAsia="宋体" w:cs="宋体"/>
          <w:b/>
          <w:i w:val="0"/>
          <w:caps w:val="0"/>
          <w:color w:val="000000"/>
          <w:spacing w:val="0"/>
          <w:kern w:val="0"/>
          <w:sz w:val="24"/>
          <w:szCs w:val="24"/>
          <w:highlight w:val="none"/>
          <w:lang w:val="en-US" w:eastAsia="zh-CN" w:bidi="ar"/>
        </w:rPr>
        <w:t>　按行业门类分组的单位</w:t>
      </w:r>
      <w:r>
        <w:rPr>
          <w:rFonts w:hint="eastAsia" w:cs="宋体"/>
          <w:b/>
          <w:i w:val="0"/>
          <w:caps w:val="0"/>
          <w:color w:val="000000"/>
          <w:spacing w:val="0"/>
          <w:kern w:val="0"/>
          <w:sz w:val="24"/>
          <w:szCs w:val="24"/>
          <w:highlight w:val="none"/>
          <w:lang w:val="en-US" w:eastAsia="zh-CN" w:bidi="ar"/>
        </w:rPr>
        <w:t>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3"/>
        <w:gridCol w:w="1415"/>
        <w:gridCol w:w="1415"/>
        <w:gridCol w:w="14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4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Times New Roman" w:hAnsi="Times New Roman" w:eastAsia="宋体" w:cs="宋体"/>
                <w:color w:val="000000"/>
                <w:sz w:val="21"/>
                <w:szCs w:val="21"/>
                <w:highlight w:val="none"/>
              </w:rPr>
            </w:pPr>
          </w:p>
        </w:tc>
        <w:tc>
          <w:tcPr>
            <w:tcW w:w="85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5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83" w:hRule="atLeast"/>
          <w:jc w:val="center"/>
        </w:trPr>
        <w:tc>
          <w:tcPr>
            <w:tcW w:w="244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852"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highlight w:val="none"/>
                <w:u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19652.88 </w:t>
            </w:r>
          </w:p>
        </w:tc>
        <w:tc>
          <w:tcPr>
            <w:tcW w:w="852"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highlight w:val="none"/>
                <w:u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7256.31 </w:t>
            </w:r>
          </w:p>
        </w:tc>
        <w:tc>
          <w:tcPr>
            <w:tcW w:w="852"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8603.33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default"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r>
              <w:rPr>
                <w:rFonts w:hint="default" w:ascii="Times New Roman" w:hAnsi="Times New Roman" w:eastAsia="宋体" w:cs="宋体"/>
                <w:color w:val="000000"/>
                <w:kern w:val="0"/>
                <w:sz w:val="21"/>
                <w:szCs w:val="21"/>
                <w:highlight w:val="none"/>
                <w:lang w:val="en" w:eastAsia="zh-CN" w:bidi="ar"/>
              </w:rPr>
              <w:t>*</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23.58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243.95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99.60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3765.55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1839.93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3684.62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611.81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461.85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324.47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1452.27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723.85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1193.42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1102.23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503.80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1789.89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278.14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164.06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160.96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41.58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24.74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23.57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125.50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58.74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133.29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5655.19 </w:t>
            </w:r>
          </w:p>
        </w:tc>
        <w:tc>
          <w:tcPr>
            <w:tcW w:w="852" w:type="pct"/>
            <w:tcBorders>
              <w:top w:val="nil"/>
              <w:left w:val="single" w:color="auto" w:sz="4" w:space="0"/>
              <w:bottom w:val="nil"/>
              <w:right w:val="single" w:color="auto" w:sz="4" w:space="0"/>
            </w:tcBorders>
            <w:noWrap w:val="0"/>
            <w:vAlign w:val="center"/>
          </w:tcPr>
          <w:p>
            <w:pPr>
              <w:jc w:val="right"/>
              <w:rPr>
                <w:rFonts w:hint="default"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251.15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2445.41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2063.53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422.07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1748.25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772.70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236.67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149.19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54.55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105.81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258.91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111.94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27.96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54.58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24.92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35.83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400.35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100.73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51.01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260.08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126.06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32.46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44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74.71 </w:t>
            </w:r>
          </w:p>
        </w:tc>
        <w:tc>
          <w:tcPr>
            <w:tcW w:w="852"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10.76 </w:t>
            </w:r>
          </w:p>
        </w:tc>
        <w:tc>
          <w:tcPr>
            <w:tcW w:w="8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color w:val="000000"/>
                <w:kern w:val="2"/>
                <w:sz w:val="21"/>
                <w:szCs w:val="21"/>
                <w:highlight w:val="none"/>
                <w:lang w:val="en" w:eastAsia="zh-CN" w:bidi="ar-SA"/>
              </w:rPr>
            </w:pPr>
            <w:r>
              <w:rPr>
                <w:rFonts w:hint="eastAsia" w:ascii="宋体" w:hAnsi="宋体" w:eastAsia="宋体" w:cs="宋体"/>
                <w:i w:val="0"/>
                <w:iCs w:val="0"/>
                <w:color w:val="000000"/>
                <w:kern w:val="0"/>
                <w:sz w:val="21"/>
                <w:szCs w:val="21"/>
                <w:u w:val="none"/>
                <w:lang w:val="en-US" w:eastAsia="zh-CN" w:bidi="ar"/>
              </w:rPr>
              <w:t xml:space="preserve">37.57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4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852"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21"/>
                <w:szCs w:val="21"/>
                <w:highlight w:val="none"/>
                <w:u w:val="none"/>
                <w:lang w:val="en" w:eastAsia="zh-CN" w:bidi="ar"/>
              </w:rPr>
            </w:pPr>
            <w:r>
              <w:rPr>
                <w:rFonts w:hint="eastAsia" w:ascii="宋体" w:hAnsi="宋体" w:eastAsia="宋体" w:cs="宋体"/>
                <w:i w:val="0"/>
                <w:iCs w:val="0"/>
                <w:color w:val="000000"/>
                <w:kern w:val="0"/>
                <w:sz w:val="21"/>
                <w:szCs w:val="21"/>
                <w:u w:val="none"/>
                <w:lang w:val="en-US" w:eastAsia="zh-CN" w:bidi="ar"/>
              </w:rPr>
              <w:t xml:space="preserve">963.10 </w:t>
            </w:r>
          </w:p>
        </w:tc>
        <w:tc>
          <w:tcPr>
            <w:tcW w:w="852"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111.55 </w:t>
            </w:r>
          </w:p>
        </w:tc>
        <w:tc>
          <w:tcPr>
            <w:tcW w:w="852" w:type="pct"/>
            <w:tcBorders>
              <w:top w:val="nil"/>
              <w:left w:val="single" w:color="auto" w:sz="4" w:space="0"/>
              <w:bottom w:val="single" w:color="auto" w:sz="12" w:space="0"/>
              <w:right w:val="nil"/>
            </w:tcBorders>
            <w:noWrap w:val="0"/>
            <w:vAlign w:val="center"/>
          </w:tcPr>
          <w:p>
            <w:pPr>
              <w:jc w:val="right"/>
              <w:rPr>
                <w:rFonts w:hint="default"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000" w:type="pct"/>
            <w:gridSpan w:val="4"/>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Times New Roman" w:hAnsi="Times New Roman" w:eastAsia="楷体" w:cs="楷体"/>
                <w:color w:val="000000"/>
                <w:kern w:val="0"/>
                <w:sz w:val="21"/>
                <w:szCs w:val="21"/>
                <w:highlight w:val="none"/>
                <w:lang w:val="en-US" w:eastAsia="zh-CN" w:bidi="ar"/>
              </w:rPr>
            </w:pPr>
            <w:r>
              <w:rPr>
                <w:rFonts w:hint="eastAsia" w:ascii="Times New Roman" w:hAnsi="Times New Roman" w:eastAsia="楷体" w:cs="楷体"/>
                <w:color w:val="000000"/>
                <w:kern w:val="0"/>
                <w:sz w:val="21"/>
                <w:szCs w:val="21"/>
                <w:highlight w:val="none"/>
                <w:lang w:val="en-US" w:eastAsia="zh-CN" w:bidi="ar"/>
              </w:rPr>
              <w:t>注：</w:t>
            </w:r>
            <w:r>
              <w:rPr>
                <w:rFonts w:hint="eastAsia" w:eastAsia="楷体" w:cs="楷体"/>
                <w:color w:val="000000"/>
                <w:kern w:val="0"/>
                <w:sz w:val="21"/>
                <w:szCs w:val="21"/>
                <w:highlight w:val="none"/>
                <w:lang w:val="en-US" w:eastAsia="zh-CN" w:bidi="ar"/>
              </w:rPr>
              <w:t>1、</w:t>
            </w:r>
            <w:r>
              <w:rPr>
                <w:rFonts w:hint="eastAsia" w:ascii="Times New Roman" w:hAnsi="Times New Roman" w:eastAsia="楷体" w:cs="楷体"/>
                <w:color w:val="000000"/>
                <w:kern w:val="0"/>
                <w:sz w:val="21"/>
                <w:szCs w:val="21"/>
                <w:highlight w:val="none"/>
                <w:lang w:val="en-US" w:eastAsia="zh-CN" w:bidi="ar"/>
              </w:rPr>
              <w:t>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default" w:ascii="Times New Roman" w:hAnsi="Times New Roman" w:eastAsia="楷体" w:cs="楷体"/>
                <w:color w:val="000000"/>
                <w:kern w:val="0"/>
                <w:sz w:val="21"/>
                <w:szCs w:val="21"/>
                <w:highlight w:val="none"/>
                <w:lang w:val="en-US" w:eastAsia="zh-CN" w:bidi="ar"/>
              </w:rPr>
            </w:pPr>
            <w:r>
              <w:rPr>
                <w:rFonts w:hint="eastAsia" w:eastAsia="楷体" w:cs="楷体"/>
                <w:color w:val="000000"/>
                <w:kern w:val="0"/>
                <w:sz w:val="21"/>
                <w:szCs w:val="21"/>
                <w:highlight w:val="none"/>
                <w:lang w:val="en-US" w:eastAsia="zh-CN" w:bidi="ar"/>
              </w:rPr>
              <w:t xml:space="preserve">    2、表中法人单位负债合计数不含金融业数据。</w:t>
            </w:r>
          </w:p>
        </w:tc>
      </w:tr>
    </w:tbl>
    <w:p>
      <w:pPr>
        <w:pStyle w:val="21"/>
        <w:keepNext w:val="0"/>
        <w:keepLines w:val="0"/>
        <w:pageBreakBefore w:val="0"/>
        <w:widowControl w:val="0"/>
        <w:kinsoku/>
        <w:wordWrap/>
        <w:overflowPunct/>
        <w:topLinePunct w:val="0"/>
        <w:autoSpaceDE/>
        <w:autoSpaceDN/>
        <w:bidi w:val="0"/>
        <w:adjustRightInd w:val="0"/>
        <w:snapToGrid/>
        <w:spacing w:line="600" w:lineRule="exact"/>
        <w:ind w:firstLine="0" w:firstLineChars="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pPr>
        <w:pStyle w:val="21"/>
        <w:keepNext w:val="0"/>
        <w:keepLines w:val="0"/>
        <w:pageBreakBefore w:val="0"/>
        <w:widowControl w:val="0"/>
        <w:kinsoku/>
        <w:wordWrap/>
        <w:overflowPunct/>
        <w:topLinePunct w:val="0"/>
        <w:autoSpaceDE/>
        <w:autoSpaceDN/>
        <w:bidi w:val="0"/>
        <w:adjustRightInd w:val="0"/>
        <w:snapToGrid/>
        <w:spacing w:line="600" w:lineRule="exact"/>
        <w:ind w:firstLine="0" w:firstLineChars="0"/>
        <w:jc w:val="both"/>
        <w:textAlignment w:val="auto"/>
        <w:rPr>
          <w:rFonts w:hint="eastAsia" w:ascii="Times New Roman" w:hAnsi="Times New Roman" w:eastAsia="黑体" w:cs="黑体"/>
          <w:b w:val="0"/>
          <w:bCs/>
          <w:color w:val="000000"/>
          <w:sz w:val="28"/>
          <w:szCs w:val="28"/>
          <w:highlight w:val="none"/>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[1]三次产业的划分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第一产业是指农、林、牧、渔业（不含农、林、牧、渔专业及辅助性活动）；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[2]单位的划分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（1）依法成立，有自己的名称、组织机构和场所，能够独立承担负债和其他民事责任；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（2）独立拥有和使用（或者授权使用）资产，有权与其他单位签订合同；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（3）会计上独立核算，能够编制资产负债表等会计报表。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法人单位包括企业法人、事业单位法人、机关法人、社会团体法人、其他法人等。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color w:val="00000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（1）在一个场所从事一种或者主要从事一种社会经济活动；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（2）相对独立地组织生产活动或经营活动；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2"/>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（3）能提供收入或者支出等相关资料。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[3]表中的合计数和部分计算数据因小数取舍而产生的误差，均未作机械调整。为保证数据精确度，个别数据保留2位小数。</w:t>
      </w:r>
    </w:p>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rPr>
          <w:rFonts w:hint="eastAsia" w:ascii="Times New Roman" w:hAnsi="Times New Roman" w:eastAsia="方正小标宋_GBK" w:cs="Times New Roman"/>
          <w:bCs/>
          <w:color w:val="000000"/>
          <w:kern w:val="0"/>
          <w:sz w:val="48"/>
          <w:szCs w:val="48"/>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新乡市第五次全国经济普查公报（第三号）</w:t>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1"/>
        <w:rPr>
          <w:rFonts w:hint="default"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w:t>
      </w:r>
      <w:r>
        <w:rPr>
          <w:rFonts w:hint="eastAsia" w:ascii="Times New Roman" w:hAnsi="Times New Roman" w:eastAsia="方正小标宋简体" w:cs="方正小标宋简体"/>
          <w:b w:val="0"/>
          <w:bCs/>
          <w:i w:val="0"/>
          <w:caps w:val="0"/>
          <w:color w:val="000000"/>
          <w:spacing w:val="0"/>
          <w:kern w:val="0"/>
          <w:sz w:val="44"/>
          <w:szCs w:val="44"/>
          <w:highlight w:val="none"/>
          <w:lang w:val="en-US" w:eastAsia="zh-CN" w:bidi="ar"/>
        </w:rPr>
        <w:t>第二产业基本情况</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center"/>
        <w:textAlignment w:val="center"/>
        <w:rPr>
          <w:rFonts w:hint="eastAsia" w:ascii="Times New Roman" w:hAnsi="Times New Roman" w:eastAsia="方正仿宋_GBK" w:cs="方正仿宋_GBK"/>
          <w:color w:val="000000"/>
          <w:kern w:val="2"/>
          <w:sz w:val="36"/>
          <w:szCs w:val="36"/>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根据新乡市第五次全国经济普查结果，现将全市第二产业（包括工业和建筑业）主要数据公布如下：</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一、工业</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kern w:val="2"/>
          <w:sz w:val="32"/>
          <w:szCs w:val="32"/>
          <w:u w:val="none"/>
          <w:lang w:val="en"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2023年末，全市共有工业企业法人单位</w:t>
      </w:r>
      <w:r>
        <w:rPr>
          <w:rFonts w:hint="eastAsia" w:ascii="仿宋" w:hAnsi="仿宋" w:eastAsia="仿宋" w:cs="仿宋"/>
          <w:color w:val="000000" w:themeColor="text1"/>
          <w:kern w:val="2"/>
          <w:sz w:val="32"/>
          <w:szCs w:val="32"/>
          <w:u w:val="none"/>
          <w:vertAlign w:val="superscript"/>
          <w:lang w:val="en-US" w:eastAsia="zh-CN" w:bidi="ar-SA"/>
          <w14:textFill>
            <w14:solidFill>
              <w14:schemeClr w14:val="tx1"/>
            </w14:solidFill>
          </w14:textFill>
        </w:rPr>
        <w:footnoteReference w:id="1"/>
      </w: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20626个，比2018年末增长50.9%；从业人员570787人，比2018年末增长27.0%。</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在工业企业法人单位中，内资企业20474个，占99.3%；港澳台投资企业28个，占0.1%；外商投资企业39个，占0.2%。</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u w:val="none"/>
          <w:lang w:val="en-US" w:eastAsia="zh-CN" w:bidi="ar-SA"/>
          <w14:textFill>
            <w14:solidFill>
              <w14:schemeClr w14:val="tx1"/>
            </w14:solidFill>
          </w14:textFill>
        </w:rPr>
        <w:t>在工业企业法人单位从业人员中，内资企业553530人，占97.0%；港澳台投资企业5963人，占1.0%；外商投资企业10738人，占1.9%（详见表3-1）。</w:t>
      </w:r>
    </w:p>
    <w:p>
      <w:pPr>
        <w:pStyle w:val="21"/>
        <w:rPr>
          <w:rFonts w:hint="eastAsia"/>
          <w:color w:val="000000"/>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i w:val="0"/>
          <w:caps w:val="0"/>
          <w:color w:val="000000"/>
          <w:spacing w:val="0"/>
          <w:sz w:val="24"/>
          <w:szCs w:val="24"/>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表3-1　按登记注册统计类别分组的工业企业法人单位数和从业人员</w:t>
      </w:r>
    </w:p>
    <w:tbl>
      <w:tblPr>
        <w:tblStyle w:val="22"/>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95"/>
        <w:gridCol w:w="2036"/>
        <w:gridCol w:w="20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252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22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24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52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22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20626</w:t>
            </w:r>
          </w:p>
        </w:tc>
        <w:tc>
          <w:tcPr>
            <w:tcW w:w="1246"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570787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5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2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20474</w:t>
            </w:r>
          </w:p>
        </w:tc>
        <w:tc>
          <w:tcPr>
            <w:tcW w:w="124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553530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5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00000"/>
                <w:kern w:val="2"/>
                <w:sz w:val="21"/>
                <w:szCs w:val="21"/>
                <w:highlight w:val="none"/>
                <w:lang w:val="en-US" w:eastAsia="zh-CN" w:bidi="ar-SA"/>
              </w:rPr>
            </w:pPr>
            <w:r>
              <w:rPr>
                <w:rFonts w:hint="eastAsia" w:ascii="Times New Roman" w:hAnsi="Times New Roman" w:eastAsia="宋体" w:cs="宋体"/>
                <w:b w:val="0"/>
                <w:bCs/>
                <w:color w:val="000000"/>
                <w:kern w:val="0"/>
                <w:sz w:val="21"/>
                <w:szCs w:val="21"/>
                <w:highlight w:val="none"/>
                <w:lang w:val="en-US" w:eastAsia="zh-CN" w:bidi="ar"/>
              </w:rPr>
              <w:t>港澳台投资企业</w:t>
            </w:r>
          </w:p>
        </w:tc>
        <w:tc>
          <w:tcPr>
            <w:tcW w:w="12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28</w:t>
            </w:r>
          </w:p>
        </w:tc>
        <w:tc>
          <w:tcPr>
            <w:tcW w:w="124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5963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5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外商投资企业</w:t>
            </w:r>
          </w:p>
        </w:tc>
        <w:tc>
          <w:tcPr>
            <w:tcW w:w="12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39</w:t>
            </w:r>
          </w:p>
        </w:tc>
        <w:tc>
          <w:tcPr>
            <w:tcW w:w="124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10738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52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6" w:rightChars="0" w:firstLine="0" w:firstLineChars="0"/>
              <w:jc w:val="both"/>
              <w:textAlignment w:val="auto"/>
              <w:rPr>
                <w:rFonts w:hint="eastAsia" w:ascii="Times New Roman" w:hAnsi="Times New Roman" w:eastAsia="宋体" w:cs="宋体"/>
                <w:b w:val="0"/>
                <w:bCs/>
                <w:color w:val="000000"/>
                <w:kern w:val="2"/>
                <w:sz w:val="21"/>
                <w:szCs w:val="21"/>
                <w:highlight w:val="none"/>
                <w:lang w:val="en-US" w:eastAsia="zh-CN" w:bidi="ar-SA"/>
              </w:rPr>
            </w:pPr>
            <w:r>
              <w:rPr>
                <w:rFonts w:hint="eastAsia" w:ascii="Times New Roman" w:hAnsi="Times New Roman" w:eastAsia="宋体" w:cs="宋体"/>
                <w:b w:val="0"/>
                <w:bCs/>
                <w:color w:val="000000"/>
                <w:kern w:val="2"/>
                <w:sz w:val="21"/>
                <w:szCs w:val="21"/>
                <w:highlight w:val="none"/>
                <w:lang w:val="en-US" w:eastAsia="zh-CN" w:bidi="ar-SA"/>
              </w:rPr>
              <w:t>其他统计类别</w:t>
            </w:r>
          </w:p>
        </w:tc>
        <w:tc>
          <w:tcPr>
            <w:tcW w:w="122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85</w:t>
            </w:r>
          </w:p>
        </w:tc>
        <w:tc>
          <w:tcPr>
            <w:tcW w:w="1246"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556</w:t>
            </w:r>
          </w:p>
        </w:tc>
      </w:tr>
    </w:tbl>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工业企业法人单位中，采矿业130个，制造业19997个，电力、热力、燃气及水生产和供应业499个，分别占0.6%、97.0%和2.4%。在工业行业大类中，通用设备制造业、专用设备制造业、金属制品业企业法人单位数位居前三位，分别占23.2%、11.4%和7.3%。</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工业企业法人单位从业人员中，采矿业11151人，制造业537127人，电力、热力、燃气及水生产和供应业22509人，分别占2.0%、94.1%和3.9%。在工业行业大类中，通用设备制造业，专用设备制造业，非金属矿物制品业人员数位居前三位，分别占17.9%、8.1%和6.7%（详见表3-2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i w:val="0"/>
          <w:caps w:val="0"/>
          <w:color w:val="000000"/>
          <w:spacing w:val="0"/>
          <w:sz w:val="28"/>
          <w:szCs w:val="28"/>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表3-2　按行业大类分组的工业企业法人单位数和从业人员</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34"/>
        <w:gridCol w:w="1586"/>
        <w:gridCol w:w="15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134"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58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586"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586"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20626</w:t>
            </w:r>
          </w:p>
        </w:tc>
        <w:tc>
          <w:tcPr>
            <w:tcW w:w="1586" w:type="dxa"/>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570787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7458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118</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3556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797</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25117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611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25182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221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5915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471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18887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736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16437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456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8485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家具制造业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37</w:t>
            </w:r>
            <w:r>
              <w:rPr>
                <w:rFonts w:hint="eastAsia" w:cs="Times New Roman"/>
                <w:i w:val="0"/>
                <w:color w:val="000000"/>
                <w:kern w:val="0"/>
                <w:sz w:val="22"/>
                <w:szCs w:val="22"/>
                <w:u w:val="none"/>
                <w:lang w:val="en-US" w:eastAsia="zh-CN" w:bidi="ar"/>
              </w:rPr>
              <w:t>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6885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552</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17825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358</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7394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353</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5845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70</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849</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33568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493</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23745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9146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785</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17462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13</w:t>
            </w:r>
            <w:r>
              <w:rPr>
                <w:rFonts w:hint="eastAsia" w:cs="Times New Roman"/>
                <w:i w:val="0"/>
                <w:color w:val="000000"/>
                <w:kern w:val="0"/>
                <w:sz w:val="22"/>
                <w:szCs w:val="22"/>
                <w:u w:val="none"/>
                <w:lang w:val="en-US" w:eastAsia="zh-CN" w:bidi="ar"/>
              </w:rPr>
              <w:t>70</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38493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2740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4940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1508</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33049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4792</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102183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2354</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46443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437</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19459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103</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13154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1161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32817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241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9091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168</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3635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其他制造业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93</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废弃资源综合利用业　</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102</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1956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236</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3033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341</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17875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1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158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35</w:t>
            </w:r>
          </w:p>
        </w:tc>
        <w:tc>
          <w:tcPr>
            <w:tcW w:w="158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5134"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1586"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123</w:t>
            </w:r>
          </w:p>
        </w:tc>
        <w:tc>
          <w:tcPr>
            <w:tcW w:w="1586"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3280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8306" w:type="dxa"/>
            <w:gridSpan w:val="3"/>
            <w:tcBorders>
              <w:top w:val="single" w:color="auto" w:sz="12" w:space="0"/>
              <w:left w:val="nil"/>
              <w:bottom w:val="nil"/>
              <w:right w:val="nil"/>
            </w:tcBorders>
            <w:noWrap w:val="0"/>
            <w:vAlign w:val="center"/>
          </w:tcPr>
          <w:p>
            <w:pPr>
              <w:keepNext w:val="0"/>
              <w:keepLines w:val="0"/>
              <w:widowControl/>
              <w:suppressLineNumbers w:val="0"/>
              <w:jc w:val="left"/>
              <w:textAlignment w:val="center"/>
              <w:rPr>
                <w:rFonts w:hint="eastAsia" w:ascii="Times New Roman" w:hAnsi="Times New Roman" w:eastAsia="楷体" w:cs="Times New Roman"/>
                <w:i w:val="0"/>
                <w:color w:val="000000"/>
                <w:kern w:val="0"/>
                <w:sz w:val="22"/>
                <w:szCs w:val="22"/>
                <w:u w:val="none"/>
                <w:lang w:val="en-US" w:eastAsia="zh-CN" w:bidi="ar"/>
              </w:rPr>
            </w:pPr>
            <w:r>
              <w:rPr>
                <w:rFonts w:hint="eastAsia" w:ascii="Times New Roman" w:hAnsi="Times New Roman" w:eastAsia="楷体" w:cs="楷体"/>
                <w:color w:val="000000"/>
                <w:kern w:val="0"/>
                <w:sz w:val="21"/>
                <w:szCs w:val="21"/>
                <w:highlight w:val="none"/>
                <w:lang w:val="en-US" w:eastAsia="zh-CN" w:bidi="ar"/>
              </w:rPr>
              <w:t>注：表中合计数包含有色金属矿采选业、其他采矿业单位数量和从业人员，因单位数量过少，为保护普查对象信息，不再单列。</w:t>
            </w:r>
          </w:p>
        </w:tc>
      </w:tr>
    </w:tbl>
    <w:p>
      <w:pPr>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2023年末，工业企业法人单位资产总计4621.31亿元，比2018年末增长40.9%；负债合计2401.37亿元，比2018年末增长40.6%。</w:t>
      </w:r>
    </w:p>
    <w:p>
      <w:pPr>
        <w:pStyle w:val="21"/>
        <w:keepNext w:val="0"/>
        <w:keepLines w:val="0"/>
        <w:pageBreakBefore w:val="0"/>
        <w:widowControl w:val="0"/>
        <w:kinsoku/>
        <w:wordWrap/>
        <w:overflowPunct/>
        <w:topLinePunct w:val="0"/>
        <w:autoSpaceDE/>
        <w:autoSpaceDN/>
        <w:bidi w:val="0"/>
        <w:adjustRightInd/>
        <w:snapToGrid/>
        <w:spacing w:line="600" w:lineRule="exact"/>
        <w:jc w:val="both"/>
        <w:textAlignment w:val="center"/>
        <w:rPr>
          <w:rFonts w:hint="eastAsia" w:ascii="仿宋" w:hAnsi="仿宋" w:eastAsia="仿宋" w:cs="仿宋"/>
          <w:color w:val="000000"/>
          <w:lang w:val="en-US" w:eastAsia="zh-CN"/>
        </w:rPr>
      </w:pPr>
      <w:r>
        <w:rPr>
          <w:rFonts w:hint="eastAsia" w:ascii="仿宋" w:hAnsi="仿宋" w:eastAsia="仿宋" w:cs="仿宋"/>
          <w:color w:val="000000"/>
          <w:kern w:val="2"/>
          <w:sz w:val="32"/>
          <w:szCs w:val="32"/>
          <w:u w:val="none"/>
          <w:lang w:val="en-US" w:eastAsia="zh-CN" w:bidi="ar-SA"/>
        </w:rPr>
        <w:t>2023年，工业企业法人单位全年实现营业收入4078.09亿元，比2018年增长35.1%（详见表3-3）。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表3-3　按行业大类分组的工业企业法人单位主要经济指标</w:t>
      </w:r>
    </w:p>
    <w:tbl>
      <w:tblPr>
        <w:tblStyle w:val="22"/>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86"/>
        <w:gridCol w:w="1139"/>
        <w:gridCol w:w="1093"/>
        <w:gridCol w:w="10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00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p>
        </w:tc>
        <w:tc>
          <w:tcPr>
            <w:tcW w:w="68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5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val="0"/>
                <w:color w:val="000000"/>
                <w:sz w:val="21"/>
                <w:szCs w:val="21"/>
                <w:highlight w:val="none"/>
              </w:rPr>
            </w:pPr>
            <w:r>
              <w:rPr>
                <w:rFonts w:hint="eastAsia" w:ascii="Times New Roman" w:hAnsi="Times New Roman" w:eastAsia="宋体" w:cs="宋体"/>
                <w:b/>
                <w:bCs w:val="0"/>
                <w:color w:val="000000"/>
                <w:kern w:val="0"/>
                <w:sz w:val="21"/>
                <w:szCs w:val="21"/>
                <w:highlight w:val="none"/>
                <w:lang w:val="en-US" w:eastAsia="zh-CN" w:bidi="ar"/>
              </w:rPr>
              <w:t>合　计</w:t>
            </w:r>
          </w:p>
        </w:tc>
        <w:tc>
          <w:tcPr>
            <w:tcW w:w="686"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4621.31</w:t>
            </w:r>
          </w:p>
        </w:tc>
        <w:tc>
          <w:tcPr>
            <w:tcW w:w="658"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2401.37</w:t>
            </w:r>
          </w:p>
        </w:tc>
        <w:tc>
          <w:tcPr>
            <w:tcW w:w="652"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4078.09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197.75</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66.89</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52.65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有色金属矿采选业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0.09</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0.05</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45.66</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32.48</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0.20</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0.05</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其他采矿业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0.28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0.13</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0.21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159.67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89.71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294.07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97.18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43.80</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116.22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37.66</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11.22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47.54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59.99</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33.12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86.98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35.38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11.11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54.03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7.52</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3.72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23.85</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8.80</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36.89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家具制造业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18.38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7.40</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26.72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98.19</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69.77</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130.77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32.69</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18.08</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15.82</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4.65</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19.38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5.87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2.44</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517.70</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265.80</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414.09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322.11</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108.96</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160.61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168.77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79.71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85.03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100.42</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52.73</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103.15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299.33</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148.84</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218.60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12.81</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7.40</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19.89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74.30</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58.79</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169.52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133.92</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57.63</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156.46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618.94</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254.11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622.49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216.47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88.91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212.16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139.69</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94.93</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135.90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155.27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105.82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120.98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224.50</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124.64</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280.94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148.56</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73.32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73.06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18.18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6.14</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其他制造业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3.73</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1.05</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废弃资源综合利用业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10.58</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5.01</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22.40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8.07</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2.32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11.64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533.75</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416.72</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283.06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686"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33.83</w:t>
            </w:r>
          </w:p>
        </w:tc>
        <w:tc>
          <w:tcPr>
            <w:tcW w:w="658"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20.65</w:t>
            </w:r>
          </w:p>
        </w:tc>
        <w:tc>
          <w:tcPr>
            <w:tcW w:w="65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28.06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686"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44.21</w:t>
            </w:r>
          </w:p>
        </w:tc>
        <w:tc>
          <w:tcPr>
            <w:tcW w:w="658"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24.48</w:t>
            </w:r>
          </w:p>
        </w:tc>
        <w:tc>
          <w:tcPr>
            <w:tcW w:w="652" w:type="pct"/>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val="0"/>
                <w:bCs w:val="0"/>
                <w:color w:val="000000"/>
                <w:kern w:val="2"/>
                <w:sz w:val="21"/>
                <w:szCs w:val="21"/>
                <w:highlight w:val="none"/>
                <w:lang w:val="en" w:eastAsia="zh-CN" w:bidi="ar-SA"/>
              </w:rPr>
            </w:pPr>
            <w:r>
              <w:rPr>
                <w:rFonts w:hint="default" w:ascii="Times New Roman" w:hAnsi="Times New Roman" w:eastAsia="宋体" w:cs="Times New Roman"/>
                <w:i w:val="0"/>
                <w:color w:val="000000"/>
                <w:kern w:val="0"/>
                <w:sz w:val="22"/>
                <w:szCs w:val="22"/>
                <w:u w:val="none"/>
                <w:lang w:val="en-US" w:eastAsia="zh-CN" w:bidi="ar"/>
              </w:rPr>
              <w:t>13.36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（三）主要工业产品产量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 w:eastAsia="zh-CN" w:bidi="ar-SA"/>
        </w:rPr>
        <w:t>2023年，</w:t>
      </w:r>
      <w:r>
        <w:rPr>
          <w:rFonts w:hint="eastAsia" w:ascii="仿宋" w:hAnsi="仿宋" w:eastAsia="仿宋" w:cs="仿宋"/>
          <w:color w:val="000000"/>
          <w:kern w:val="2"/>
          <w:sz w:val="32"/>
          <w:szCs w:val="32"/>
          <w:u w:val="none"/>
          <w:lang w:val="en-US" w:eastAsia="zh-CN" w:bidi="ar-SA"/>
        </w:rPr>
        <w:t>规模以上工业主要产品产量详见表3-4。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leftChars="0" w:right="0" w:firstLine="0" w:firstLineChars="0"/>
        <w:jc w:val="center"/>
        <w:textAlignment w:val="auto"/>
        <w:rPr>
          <w:rFonts w:hint="eastAsia" w:ascii="Times New Roman" w:hAnsi="Times New Roman" w:eastAsia="楷体_GB2312" w:cs="楷体_GB2312"/>
          <w:i w:val="0"/>
          <w:caps w:val="0"/>
          <w:color w:val="000000"/>
          <w:spacing w:val="0"/>
          <w:kern w:val="0"/>
          <w:sz w:val="28"/>
          <w:szCs w:val="28"/>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表3-4　规模以上工业主要产品产量</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7"/>
        <w:gridCol w:w="1620"/>
        <w:gridCol w:w="16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04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产品名称</w:t>
            </w:r>
          </w:p>
        </w:tc>
        <w:tc>
          <w:tcPr>
            <w:tcW w:w="9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w:t>
            </w:r>
          </w:p>
        </w:tc>
        <w:tc>
          <w:tcPr>
            <w:tcW w:w="97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纱</w:t>
            </w:r>
          </w:p>
        </w:tc>
        <w:tc>
          <w:tcPr>
            <w:tcW w:w="97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19</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布</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万米</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 w:eastAsia="zh-CN" w:bidi="ar-SA"/>
              </w:rPr>
              <w:t>4379</w:t>
            </w:r>
            <w:r>
              <w:rPr>
                <w:rFonts w:hint="eastAsia" w:cs="宋体"/>
                <w:color w:val="000000"/>
                <w:kern w:val="2"/>
                <w:sz w:val="21"/>
                <w:szCs w:val="21"/>
                <w:highlight w:val="none"/>
                <w:lang w:val="en-US" w:eastAsia="zh-CN" w:bidi="ar-SA"/>
              </w:rPr>
              <w:t>.00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tabs>
                <w:tab w:val="left" w:pos="467"/>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32</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家用电冰箱</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万台</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tabs>
                <w:tab w:val="left" w:pos="588"/>
              </w:tabs>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 w:eastAsia="zh-CN" w:bidi="ar-SA"/>
              </w:rPr>
              <w:t>47</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3</w:t>
            </w:r>
            <w:r>
              <w:rPr>
                <w:rFonts w:hint="eastAsia" w:ascii="Times New Roman" w:hAnsi="Times New Roman" w:eastAsia="宋体" w:cs="宋体"/>
                <w:color w:val="000000"/>
                <w:kern w:val="2"/>
                <w:sz w:val="21"/>
                <w:szCs w:val="21"/>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房间空气调节器</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万台</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21</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钢材</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tabs>
                <w:tab w:val="left" w:pos="513"/>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9</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十种有色金属</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tabs>
                <w:tab w:val="left" w:pos="453"/>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1</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水泥</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1996</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9</w:t>
            </w:r>
            <w:r>
              <w:rPr>
                <w:rFonts w:hint="eastAsia" w:ascii="Times New Roman" w:hAnsi="Times New Roman" w:eastAsia="宋体" w:cs="宋体"/>
                <w:color w:val="000000"/>
                <w:kern w:val="2"/>
                <w:sz w:val="21"/>
                <w:szCs w:val="21"/>
                <w:highlight w:val="none"/>
                <w:lang w:val="en-US" w:eastAsia="zh-CN" w:bidi="ar-SA"/>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化肥（折100%）</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nil"/>
              <w:right w:val="nil"/>
            </w:tcBorders>
            <w:noWrap w:val="0"/>
            <w:vAlign w:val="center"/>
          </w:tcPr>
          <w:p>
            <w:pPr>
              <w:keepNext w:val="0"/>
              <w:keepLines w:val="0"/>
              <w:pageBreakBefore w:val="0"/>
              <w:widowControl/>
              <w:suppressLineNumbers w:val="0"/>
              <w:tabs>
                <w:tab w:val="left" w:pos="483"/>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 w:eastAsia="zh-CN" w:bidi="ar-SA"/>
              </w:rPr>
              <w:t>103</w:t>
            </w:r>
            <w:r>
              <w:rPr>
                <w:rFonts w:hint="eastAsia" w:ascii="Times New Roman" w:hAnsi="Times New Roman" w:eastAsia="宋体" w:cs="宋体"/>
                <w:color w:val="000000"/>
                <w:kern w:val="2"/>
                <w:sz w:val="21"/>
                <w:szCs w:val="21"/>
                <w:highlight w:val="none"/>
                <w:lang w:val="en-US" w:eastAsia="zh-CN" w:bidi="ar-SA"/>
              </w:rPr>
              <w:t>.</w:t>
            </w:r>
            <w:r>
              <w:rPr>
                <w:rFonts w:hint="eastAsia" w:ascii="Times New Roman" w:hAnsi="Times New Roman" w:eastAsia="宋体" w:cs="宋体"/>
                <w:color w:val="000000"/>
                <w:kern w:val="2"/>
                <w:sz w:val="21"/>
                <w:szCs w:val="21"/>
                <w:highlight w:val="none"/>
                <w:lang w:val="en" w:eastAsia="zh-CN" w:bidi="ar-SA"/>
              </w:rPr>
              <w:t>5</w:t>
            </w:r>
            <w:r>
              <w:rPr>
                <w:rFonts w:hint="eastAsia" w:ascii="Times New Roman" w:hAnsi="Times New Roman" w:eastAsia="宋体" w:cs="宋体"/>
                <w:color w:val="000000"/>
                <w:kern w:val="2"/>
                <w:sz w:val="21"/>
                <w:szCs w:val="21"/>
                <w:highlight w:val="none"/>
                <w:lang w:val="en-US" w:eastAsia="zh-CN" w:bidi="ar-SA"/>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cs="宋体"/>
                <w:color w:val="000000"/>
                <w:kern w:val="0"/>
                <w:sz w:val="21"/>
                <w:szCs w:val="21"/>
                <w:highlight w:val="none"/>
                <w:lang w:val="en-US" w:eastAsia="zh-CN" w:bidi="ar"/>
              </w:rPr>
              <w:t>起重机</w:t>
            </w:r>
          </w:p>
        </w:tc>
        <w:tc>
          <w:tcPr>
            <w:tcW w:w="97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nil"/>
              <w:left w:val="single" w:color="auto" w:sz="4" w:space="0"/>
              <w:bottom w:val="single" w:color="auto" w:sz="12" w:space="0"/>
              <w:right w:val="nil"/>
            </w:tcBorders>
            <w:shd w:val="clear" w:color="auto" w:fill="auto"/>
            <w:noWrap w:val="0"/>
            <w:vAlign w:val="center"/>
          </w:tcPr>
          <w:p>
            <w:pPr>
              <w:keepNext w:val="0"/>
              <w:keepLines w:val="0"/>
              <w:pageBreakBefore w:val="0"/>
              <w:widowControl/>
              <w:suppressLineNumbers w:val="0"/>
              <w:tabs>
                <w:tab w:val="left" w:pos="483"/>
              </w:tabs>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315.48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（四）主要能源产品产量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2023年，主要能源产品产量详见表3-5。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表3-5　主要能源产品产量</w:t>
      </w:r>
    </w:p>
    <w:tbl>
      <w:tblPr>
        <w:tblStyle w:val="22"/>
        <w:tblW w:w="4996"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7"/>
        <w:gridCol w:w="1621"/>
        <w:gridCol w:w="16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04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产品名称</w:t>
            </w:r>
          </w:p>
        </w:tc>
        <w:tc>
          <w:tcPr>
            <w:tcW w:w="9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w:t>
            </w:r>
          </w:p>
        </w:tc>
        <w:tc>
          <w:tcPr>
            <w:tcW w:w="97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原煤</w:t>
            </w:r>
          </w:p>
        </w:tc>
        <w:tc>
          <w:tcPr>
            <w:tcW w:w="97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万吨</w:t>
            </w:r>
          </w:p>
        </w:tc>
        <w:tc>
          <w:tcPr>
            <w:tcW w:w="976" w:type="pct"/>
            <w:tcBorders>
              <w:top w:val="single" w:color="auto" w:sz="4" w:space="0"/>
              <w:left w:val="single" w:color="auto" w:sz="4" w:space="0"/>
              <w:bottom w:val="nil"/>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cs="Times New Roman"/>
                <w:color w:val="000000"/>
                <w:sz w:val="21"/>
                <w:szCs w:val="21"/>
                <w:lang w:val="en-US" w:eastAsia="zh-CN"/>
              </w:rPr>
              <w:t>582.4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eastAsia="zh-CN"/>
              </w:rPr>
              <w:t>发电量</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eastAsia="zh-CN"/>
              </w:rPr>
              <w:t>亿千瓦时</w:t>
            </w:r>
          </w:p>
        </w:tc>
        <w:tc>
          <w:tcPr>
            <w:tcW w:w="976" w:type="pct"/>
            <w:tcBorders>
              <w:top w:val="nil"/>
              <w:left w:val="single" w:color="auto" w:sz="4" w:space="0"/>
              <w:bottom w:val="nil"/>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cs="Times New Roman"/>
                <w:color w:val="000000"/>
                <w:sz w:val="21"/>
                <w:szCs w:val="21"/>
                <w:lang w:val="en-US" w:eastAsia="zh-CN"/>
              </w:rPr>
              <w:t>244.2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val="en-US" w:eastAsia="zh-CN"/>
              </w:rPr>
              <w:t xml:space="preserve">    其中：火力发电量</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eastAsia="zh-CN"/>
              </w:rPr>
              <w:t>亿千瓦时</w:t>
            </w:r>
          </w:p>
        </w:tc>
        <w:tc>
          <w:tcPr>
            <w:tcW w:w="976" w:type="pct"/>
            <w:tcBorders>
              <w:top w:val="nil"/>
              <w:left w:val="single" w:color="auto" w:sz="4" w:space="0"/>
              <w:bottom w:val="nil"/>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cs="Times New Roman"/>
                <w:color w:val="000000"/>
                <w:sz w:val="21"/>
                <w:szCs w:val="21"/>
                <w:lang w:val="en-US" w:eastAsia="zh-CN"/>
              </w:rPr>
              <w:t>171.3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58"/>
              </w:tabs>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eastAsia="zh-CN"/>
              </w:rPr>
              <w:tab/>
            </w:r>
            <w:r>
              <w:rPr>
                <w:rFonts w:hint="eastAsia" w:ascii="Times New Roman" w:hAnsi="Times New Roman" w:eastAsia="宋体" w:cs="宋体"/>
                <w:color w:val="000000"/>
                <w:sz w:val="21"/>
                <w:szCs w:val="21"/>
                <w:highlight w:val="none"/>
                <w:lang w:eastAsia="zh-CN"/>
              </w:rPr>
              <w:t>水</w:t>
            </w:r>
            <w:r>
              <w:rPr>
                <w:rFonts w:hint="eastAsia" w:ascii="Times New Roman" w:hAnsi="Times New Roman" w:eastAsia="宋体" w:cs="宋体"/>
                <w:color w:val="000000"/>
                <w:sz w:val="21"/>
                <w:szCs w:val="21"/>
                <w:highlight w:val="none"/>
                <w:lang w:val="en-US" w:eastAsia="zh-CN"/>
              </w:rPr>
              <w:t>力发电量</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sz w:val="21"/>
                <w:szCs w:val="21"/>
                <w:highlight w:val="none"/>
                <w:lang w:eastAsia="zh-CN"/>
              </w:rPr>
              <w:t>亿千瓦时</w:t>
            </w:r>
          </w:p>
        </w:tc>
        <w:tc>
          <w:tcPr>
            <w:tcW w:w="976" w:type="pct"/>
            <w:tcBorders>
              <w:top w:val="nil"/>
              <w:left w:val="single" w:color="auto" w:sz="4" w:space="0"/>
              <w:bottom w:val="nil"/>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cs="Times New Roman"/>
                <w:color w:val="000000"/>
                <w:sz w:val="21"/>
                <w:szCs w:val="21"/>
                <w:lang w:val="en-US" w:eastAsia="zh-CN"/>
              </w:rPr>
              <w:t>15.3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73"/>
              </w:tabs>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sz w:val="21"/>
                <w:szCs w:val="21"/>
                <w:highlight w:val="none"/>
                <w:lang w:eastAsia="zh-CN"/>
              </w:rPr>
              <w:tab/>
            </w:r>
            <w:r>
              <w:rPr>
                <w:rFonts w:hint="eastAsia" w:ascii="Times New Roman" w:hAnsi="Times New Roman" w:eastAsia="宋体" w:cs="宋体"/>
                <w:color w:val="000000"/>
                <w:sz w:val="21"/>
                <w:szCs w:val="21"/>
                <w:highlight w:val="none"/>
                <w:lang w:eastAsia="zh-CN"/>
              </w:rPr>
              <w:t>风</w:t>
            </w:r>
            <w:r>
              <w:rPr>
                <w:rFonts w:hint="eastAsia" w:ascii="Times New Roman" w:hAnsi="Times New Roman" w:eastAsia="宋体" w:cs="宋体"/>
                <w:color w:val="000000"/>
                <w:sz w:val="21"/>
                <w:szCs w:val="21"/>
                <w:highlight w:val="none"/>
                <w:lang w:val="en-US" w:eastAsia="zh-CN"/>
              </w:rPr>
              <w:t>力发电量</w:t>
            </w:r>
          </w:p>
        </w:tc>
        <w:tc>
          <w:tcPr>
            <w:tcW w:w="9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sz w:val="21"/>
                <w:szCs w:val="21"/>
                <w:highlight w:val="none"/>
                <w:lang w:eastAsia="zh-CN"/>
              </w:rPr>
              <w:t>亿千瓦时</w:t>
            </w:r>
          </w:p>
        </w:tc>
        <w:tc>
          <w:tcPr>
            <w:tcW w:w="976" w:type="pct"/>
            <w:tcBorders>
              <w:top w:val="nil"/>
              <w:left w:val="single" w:color="auto" w:sz="4" w:space="0"/>
              <w:bottom w:val="nil"/>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sz w:val="21"/>
                <w:szCs w:val="21"/>
                <w:highlight w:val="none"/>
                <w:lang w:val="en"/>
              </w:rPr>
            </w:pPr>
            <w:r>
              <w:rPr>
                <w:rFonts w:hint="eastAsia" w:ascii="Times New Roman" w:hAnsi="Times New Roman" w:cs="Times New Roman"/>
                <w:color w:val="000000"/>
                <w:sz w:val="21"/>
                <w:szCs w:val="21"/>
                <w:lang w:val="en-US" w:eastAsia="zh-CN"/>
              </w:rPr>
              <w:t>29.2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18"/>
              </w:tabs>
              <w:kinsoku/>
              <w:wordWrap/>
              <w:overflowPunct/>
              <w:topLinePunct w:val="0"/>
              <w:autoSpaceDE/>
              <w:autoSpaceDN/>
              <w:bidi w:val="0"/>
              <w:adjustRightInd/>
              <w:snapToGrid/>
              <w:spacing w:before="0" w:beforeAutospacing="0" w:after="0" w:afterAutospacing="0" w:line="400" w:lineRule="exact"/>
              <w:ind w:left="6" w:leftChars="0" w:right="6" w:rightChars="0" w:firstLine="1050" w:firstLineChars="50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sz w:val="21"/>
                <w:szCs w:val="21"/>
                <w:highlight w:val="none"/>
                <w:lang w:eastAsia="zh-CN"/>
              </w:rPr>
              <w:t>太阳能发电量</w:t>
            </w:r>
          </w:p>
        </w:tc>
        <w:tc>
          <w:tcPr>
            <w:tcW w:w="97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leftChars="0" w:right="6" w:rightChars="0" w:firstLine="0" w:firstLineChars="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sz w:val="21"/>
                <w:szCs w:val="21"/>
                <w:highlight w:val="none"/>
                <w:lang w:eastAsia="zh-CN"/>
              </w:rPr>
              <w:t>亿千瓦时</w:t>
            </w:r>
          </w:p>
        </w:tc>
        <w:tc>
          <w:tcPr>
            <w:tcW w:w="976" w:type="pct"/>
            <w:tcBorders>
              <w:top w:val="nil"/>
              <w:left w:val="single" w:color="auto" w:sz="4" w:space="0"/>
              <w:bottom w:val="single" w:color="auto" w:sz="12" w:space="0"/>
              <w:right w:val="nil"/>
            </w:tcBorders>
            <w:noWrap w:val="0"/>
            <w:vAlign w:val="center"/>
          </w:tcPr>
          <w:p>
            <w:pPr>
              <w:pStyle w:val="19"/>
              <w:keepNext w:val="0"/>
              <w:keepLines w:val="0"/>
              <w:widowControl/>
              <w:suppressLineNumbers w:val="0"/>
              <w:spacing w:before="0" w:beforeAutospacing="0" w:after="0" w:afterAutospacing="0" w:line="264" w:lineRule="atLeast"/>
              <w:ind w:left="0" w:leftChars="0" w:right="0" w:rightChars="0"/>
              <w:jc w:val="right"/>
              <w:rPr>
                <w:rFonts w:hint="eastAsia" w:ascii="Times New Roman" w:hAnsi="Times New Roman" w:eastAsia="宋体" w:cs="宋体"/>
                <w:color w:val="000000"/>
                <w:sz w:val="21"/>
                <w:szCs w:val="21"/>
                <w:highlight w:val="none"/>
                <w:lang w:val="en"/>
              </w:rPr>
            </w:pPr>
            <w:r>
              <w:rPr>
                <w:rFonts w:hint="eastAsia" w:ascii="Times New Roman" w:hAnsi="Times New Roman" w:cs="Times New Roman"/>
                <w:color w:val="000000"/>
                <w:sz w:val="21"/>
                <w:szCs w:val="21"/>
                <w:lang w:val="en-US" w:eastAsia="zh-CN"/>
              </w:rPr>
              <w:t>28.4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二、建筑业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2023年末，全市共有建筑业企业法人单位14280个，比2018年末增长249.2%；从业人员252825人，比2018年末增长4.7%。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建筑业企业法人单位中，房屋建筑业占35.4%，土木工程建筑业占17.3%，建筑安装业占8.7%，建筑装饰、装修和其他建筑业占38.6%。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建筑业企业法人单位从业人员中，房屋建筑业占33.3%，土木工程建筑业占14.9%，建筑安装业占6.9%，建筑装饰、装修和其他建筑业占44.9%（详见表3-6）。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表3-6　按行业大类分组的建筑业企业法人单位数和从业人员</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2"/>
        <w:gridCol w:w="2197"/>
        <w:gridCol w:w="21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912"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219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2197"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91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2197"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14280</w:t>
            </w:r>
          </w:p>
        </w:tc>
        <w:tc>
          <w:tcPr>
            <w:tcW w:w="2197" w:type="dxa"/>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sz w:val="21"/>
                <w:szCs w:val="21"/>
                <w:highlight w:val="none"/>
                <w:lang w:val="en"/>
              </w:rPr>
            </w:pPr>
            <w:r>
              <w:rPr>
                <w:rFonts w:hint="default" w:ascii="Times New Roman" w:hAnsi="Times New Roman" w:eastAsia="宋体" w:cs="Times New Roman"/>
                <w:b/>
                <w:bCs/>
                <w:i w:val="0"/>
                <w:iCs w:val="0"/>
                <w:color w:val="000000"/>
                <w:kern w:val="0"/>
                <w:sz w:val="21"/>
                <w:szCs w:val="21"/>
                <w:u w:val="none"/>
                <w:lang w:val="en-US" w:eastAsia="zh-CN" w:bidi="ar"/>
              </w:rPr>
              <w:t>252825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1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房屋建筑业</w:t>
            </w:r>
          </w:p>
        </w:tc>
        <w:tc>
          <w:tcPr>
            <w:tcW w:w="21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5056</w:t>
            </w:r>
          </w:p>
        </w:tc>
        <w:tc>
          <w:tcPr>
            <w:tcW w:w="219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84284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91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土木工程建筑业</w:t>
            </w:r>
          </w:p>
        </w:tc>
        <w:tc>
          <w:tcPr>
            <w:tcW w:w="21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2472</w:t>
            </w:r>
          </w:p>
        </w:tc>
        <w:tc>
          <w:tcPr>
            <w:tcW w:w="219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37594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1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建筑安装业</w:t>
            </w:r>
          </w:p>
        </w:tc>
        <w:tc>
          <w:tcPr>
            <w:tcW w:w="2197"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1247</w:t>
            </w:r>
          </w:p>
        </w:tc>
        <w:tc>
          <w:tcPr>
            <w:tcW w:w="2197"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17440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91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建筑装饰、装修和其他建筑业</w:t>
            </w:r>
          </w:p>
        </w:tc>
        <w:tc>
          <w:tcPr>
            <w:tcW w:w="2197"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5505</w:t>
            </w:r>
          </w:p>
        </w:tc>
        <w:tc>
          <w:tcPr>
            <w:tcW w:w="2197"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sz w:val="21"/>
                <w:szCs w:val="21"/>
                <w:highlight w:val="none"/>
                <w:lang w:val="en"/>
              </w:rPr>
            </w:pPr>
            <w:r>
              <w:rPr>
                <w:rFonts w:hint="default" w:ascii="Times New Roman" w:hAnsi="Times New Roman" w:eastAsia="宋体" w:cs="Times New Roman"/>
                <w:i w:val="0"/>
                <w:iCs w:val="0"/>
                <w:color w:val="000000"/>
                <w:kern w:val="0"/>
                <w:sz w:val="21"/>
                <w:szCs w:val="21"/>
                <w:u w:val="none"/>
                <w:lang w:val="en-US" w:eastAsia="zh-CN" w:bidi="ar"/>
              </w:rPr>
              <w:t>113507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2023年末，建筑业企业法人单位资产总计1460.1亿元，比2018年末增长37.9%；负债合计729.03亿元，比2018年末增长198.4%。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2023年，建筑业企业法人单位全年实现营业收入1194.15亿元，比2018年增长59.2%（详见表3-7）。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表3-7　按行业大类分组的建筑业企业法人单位主要经济指标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39"/>
        <w:gridCol w:w="1787"/>
        <w:gridCol w:w="1787"/>
        <w:gridCol w:w="17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6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0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0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07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903"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US" w:eastAsia="zh-CN" w:bidi="ar-SA"/>
              </w:rPr>
            </w:pPr>
            <w:r>
              <w:rPr>
                <w:rFonts w:hint="eastAsia" w:cs="Times New Roman"/>
                <w:b/>
                <w:bCs/>
                <w:i w:val="0"/>
                <w:iCs w:val="0"/>
                <w:color w:val="000000"/>
                <w:kern w:val="0"/>
                <w:sz w:val="21"/>
                <w:szCs w:val="21"/>
                <w:u w:val="none"/>
                <w:lang w:val="en-US" w:eastAsia="zh-CN" w:bidi="ar"/>
              </w:rPr>
              <w:t>1452.27</w:t>
            </w:r>
          </w:p>
        </w:tc>
        <w:tc>
          <w:tcPr>
            <w:tcW w:w="1903"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US" w:eastAsia="zh-CN" w:bidi="ar-SA"/>
              </w:rPr>
            </w:pPr>
            <w:r>
              <w:rPr>
                <w:rFonts w:hint="eastAsia" w:cs="Times New Roman"/>
                <w:b/>
                <w:bCs/>
                <w:i w:val="0"/>
                <w:iCs w:val="0"/>
                <w:color w:val="000000"/>
                <w:kern w:val="0"/>
                <w:sz w:val="21"/>
                <w:szCs w:val="21"/>
                <w:u w:val="none"/>
                <w:lang w:val="en-US" w:eastAsia="zh-CN" w:bidi="ar"/>
              </w:rPr>
              <w:t>723.85</w:t>
            </w:r>
          </w:p>
        </w:tc>
        <w:tc>
          <w:tcPr>
            <w:tcW w:w="1906" w:type="dxa"/>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color w:val="000000"/>
                <w:kern w:val="2"/>
                <w:sz w:val="21"/>
                <w:szCs w:val="21"/>
                <w:highlight w:val="none"/>
                <w:lang w:val="en-US" w:eastAsia="zh-CN" w:bidi="ar-SA"/>
              </w:rPr>
            </w:pPr>
            <w:r>
              <w:rPr>
                <w:rFonts w:hint="eastAsia" w:cs="Times New Roman"/>
                <w:b/>
                <w:bCs/>
                <w:i w:val="0"/>
                <w:iCs w:val="0"/>
                <w:color w:val="000000"/>
                <w:kern w:val="0"/>
                <w:sz w:val="21"/>
                <w:szCs w:val="21"/>
                <w:u w:val="none"/>
                <w:lang w:val="en-US" w:eastAsia="zh-CN" w:bidi="ar"/>
              </w:rPr>
              <w:t>1193.42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房屋建筑业</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521.45</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eastAsia" w:cs="Times New Roman"/>
                <w:i w:val="0"/>
                <w:iCs w:val="0"/>
                <w:color w:val="000000"/>
                <w:kern w:val="0"/>
                <w:sz w:val="21"/>
                <w:szCs w:val="21"/>
                <w:u w:val="none"/>
                <w:lang w:val="en-US" w:eastAsia="zh-CN" w:bidi="ar"/>
              </w:rPr>
              <w:t>304.38</w:t>
            </w:r>
          </w:p>
        </w:tc>
        <w:tc>
          <w:tcPr>
            <w:tcW w:w="190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449.</w:t>
            </w:r>
            <w:r>
              <w:rPr>
                <w:rFonts w:hint="eastAsia" w:cs="Times New Roman"/>
                <w:i w:val="0"/>
                <w:iCs w:val="0"/>
                <w:color w:val="000000"/>
                <w:kern w:val="0"/>
                <w:sz w:val="21"/>
                <w:szCs w:val="21"/>
                <w:u w:val="none"/>
                <w:lang w:val="en-US" w:eastAsia="zh-CN" w:bidi="ar"/>
              </w:rPr>
              <w:t>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土木工程建筑业</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454.34</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eastAsia" w:cs="Times New Roman"/>
                <w:i w:val="0"/>
                <w:iCs w:val="0"/>
                <w:color w:val="000000"/>
                <w:kern w:val="0"/>
                <w:sz w:val="21"/>
                <w:szCs w:val="21"/>
                <w:u w:val="none"/>
                <w:lang w:val="en-US" w:eastAsia="zh-CN" w:bidi="ar"/>
              </w:rPr>
              <w:t>245.82</w:t>
            </w:r>
          </w:p>
        </w:tc>
        <w:tc>
          <w:tcPr>
            <w:tcW w:w="190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194.05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建筑安装业</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i w:val="0"/>
                <w:iCs w:val="0"/>
                <w:color w:val="000000"/>
                <w:kern w:val="0"/>
                <w:sz w:val="21"/>
                <w:szCs w:val="21"/>
                <w:u w:val="none"/>
                <w:lang w:val="en-US" w:eastAsia="zh-CN" w:bidi="ar"/>
              </w:rPr>
              <w:t>79.96</w:t>
            </w:r>
          </w:p>
        </w:tc>
        <w:tc>
          <w:tcPr>
            <w:tcW w:w="1903"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eastAsia" w:cs="Times New Roman"/>
                <w:i w:val="0"/>
                <w:iCs w:val="0"/>
                <w:color w:val="000000"/>
                <w:kern w:val="0"/>
                <w:sz w:val="21"/>
                <w:szCs w:val="21"/>
                <w:u w:val="none"/>
                <w:lang w:val="en-US" w:eastAsia="zh-CN" w:bidi="ar"/>
              </w:rPr>
              <w:t>31.41</w:t>
            </w:r>
          </w:p>
        </w:tc>
        <w:tc>
          <w:tcPr>
            <w:tcW w:w="190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iCs w:val="0"/>
                <w:color w:val="000000"/>
                <w:kern w:val="0"/>
                <w:sz w:val="21"/>
                <w:szCs w:val="21"/>
                <w:u w:val="none"/>
                <w:lang w:val="en-US" w:eastAsia="zh-CN" w:bidi="ar"/>
              </w:rPr>
              <w:t>99.</w:t>
            </w:r>
            <w:r>
              <w:rPr>
                <w:rFonts w:hint="eastAsia" w:cs="Times New Roman"/>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建筑装饰、装修和其他建筑业</w:t>
            </w:r>
          </w:p>
        </w:tc>
        <w:tc>
          <w:tcPr>
            <w:tcW w:w="1903"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396.</w:t>
            </w:r>
            <w:r>
              <w:rPr>
                <w:rFonts w:hint="eastAsia" w:cs="Times New Roman"/>
                <w:i w:val="0"/>
                <w:iCs w:val="0"/>
                <w:color w:val="000000"/>
                <w:kern w:val="0"/>
                <w:sz w:val="21"/>
                <w:szCs w:val="21"/>
                <w:u w:val="none"/>
                <w:lang w:val="en-US" w:eastAsia="zh-CN" w:bidi="ar"/>
              </w:rPr>
              <w:t>53</w:t>
            </w:r>
          </w:p>
        </w:tc>
        <w:tc>
          <w:tcPr>
            <w:tcW w:w="1903"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iCs w:val="0"/>
                <w:color w:val="000000"/>
                <w:kern w:val="0"/>
                <w:sz w:val="21"/>
                <w:szCs w:val="21"/>
                <w:u w:val="none"/>
                <w:lang w:val="en-US" w:eastAsia="zh-CN" w:bidi="ar"/>
              </w:rPr>
              <w:t>142.</w:t>
            </w:r>
            <w:r>
              <w:rPr>
                <w:rFonts w:hint="eastAsia" w:cs="Times New Roman"/>
                <w:i w:val="0"/>
                <w:iCs w:val="0"/>
                <w:color w:val="000000"/>
                <w:kern w:val="0"/>
                <w:sz w:val="21"/>
                <w:szCs w:val="21"/>
                <w:u w:val="none"/>
                <w:lang w:val="en-US" w:eastAsia="zh-CN" w:bidi="ar"/>
              </w:rPr>
              <w:t>24</w:t>
            </w:r>
          </w:p>
        </w:tc>
        <w:tc>
          <w:tcPr>
            <w:tcW w:w="1906"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2"/>
                <w:sz w:val="21"/>
                <w:szCs w:val="21"/>
                <w:highlight w:val="none"/>
                <w:lang w:val="en" w:eastAsia="zh-CN" w:bidi="ar-SA"/>
              </w:rPr>
            </w:pPr>
            <w:r>
              <w:rPr>
                <w:rFonts w:hint="default" w:ascii="Times New Roman" w:hAnsi="Times New Roman" w:eastAsia="宋体" w:cs="Times New Roman"/>
                <w:i w:val="0"/>
                <w:iCs w:val="0"/>
                <w:color w:val="000000"/>
                <w:kern w:val="0"/>
                <w:sz w:val="21"/>
                <w:szCs w:val="21"/>
                <w:u w:val="none"/>
                <w:lang w:val="en-US" w:eastAsia="zh-CN" w:bidi="ar"/>
              </w:rPr>
              <w:t>451.14</w:t>
            </w:r>
          </w:p>
        </w:tc>
      </w:tr>
    </w:tbl>
    <w:p>
      <w:pPr>
        <w:pStyle w:val="3"/>
        <w:keepNext w:val="0"/>
        <w:keepLines w:val="0"/>
        <w:pageBreakBefore w:val="0"/>
        <w:kinsoku/>
        <w:wordWrap/>
        <w:topLinePunct w:val="0"/>
        <w:autoSpaceDE/>
        <w:autoSpaceDN/>
        <w:bidi w:val="0"/>
        <w:spacing w:line="600" w:lineRule="exact"/>
        <w:rPr>
          <w:rFonts w:hint="eastAsia" w:ascii="Times New Roman" w:hAnsi="Times New Roman"/>
          <w:color w:val="000000"/>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rPr>
          <w:rFonts w:hint="default" w:ascii="Times New Roman" w:hAnsi="Times New Roman" w:eastAsia="微软雅黑" w:cs="微软雅黑"/>
          <w:i w:val="0"/>
          <w:caps w:val="0"/>
          <w:color w:val="000000"/>
          <w:spacing w:val="0"/>
          <w:sz w:val="28"/>
          <w:szCs w:val="28"/>
          <w:highlight w:val="none"/>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[3]表中的合计数和部分计算数据因小数取舍而产生的误差，均未作机械调整。为保证数据精确度，个别数据保留2位小数。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both"/>
        <w:textAlignment w:val="auto"/>
        <w:outlineLvl w:val="1"/>
        <w:rPr>
          <w:rFonts w:hint="eastAsia" w:ascii="黑体" w:hAnsi="黑体" w:eastAsia="黑体" w:cs="黑体"/>
          <w:color w:val="000000"/>
          <w:spacing w:val="-6"/>
          <w:kern w:val="2"/>
          <w:sz w:val="32"/>
          <w:szCs w:val="32"/>
          <w:u w:val="none"/>
          <w:lang w:val="en-US" w:eastAsia="zh-CN" w:bidi="ar-SA"/>
        </w:rPr>
      </w:pPr>
    </w:p>
    <w:p>
      <w:pPr>
        <w:keepNext w:val="0"/>
        <w:keepLines w:val="0"/>
        <w:pageBreakBefore w:val="0"/>
        <w:kinsoku/>
        <w:wordWrap/>
        <w:topLinePunct w:val="0"/>
        <w:autoSpaceDE/>
        <w:autoSpaceDN/>
        <w:bidi w:val="0"/>
        <w:spacing w:line="600" w:lineRule="exact"/>
        <w:rPr>
          <w:rFonts w:hint="eastAsia"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p>
    <w:p>
      <w:pPr>
        <w:spacing w:line="120" w:lineRule="exact"/>
        <w:rPr>
          <w:rFonts w:hint="eastAsia" w:eastAsia="宋体"/>
          <w:color w:val="000000"/>
          <w:lang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cs="Times New Roman"/>
          <w:color w:val="000000"/>
          <w:kern w:val="2"/>
          <w:sz w:val="36"/>
          <w:szCs w:val="36"/>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w:t>
      </w:r>
      <w:r>
        <w:rPr>
          <w:rFonts w:hint="eastAsia" w:ascii="Times New Roman" w:hAnsi="Times New Roman" w:eastAsia="方正小标宋_GBK" w:cs="Times New Roman"/>
          <w:bCs/>
          <w:color w:val="000000"/>
          <w:kern w:val="0"/>
          <w:sz w:val="44"/>
          <w:szCs w:val="44"/>
          <w:shd w:val="clear" w:color="auto" w:fill="FFFFFF"/>
          <w:lang w:val="en-US" w:eastAsia="zh-CN" w:bidi="ar"/>
        </w:rPr>
        <w:t>第五次全国经济普查公报（第四号）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outlineLvl w:val="1"/>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——第三产业基本情况之一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rPr>
          <w:rFonts w:hint="eastAsia" w:ascii="Times New Roman" w:hAnsi="Times New Roman" w:cs="Times New Roman"/>
          <w:color w:val="000000"/>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根据新乡市第五次全国经济普查结果，现将全市第三产业中批发和零售业，交通运输、仓储和邮政业，住宿和餐饮业，信息传输、软件和信息技术服务业，金融业，房地产业，租赁和商务服务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一、批发和零售业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2023年末，全市共有批发和零售业企业法人单位</w:t>
      </w:r>
      <w:r>
        <w:rPr>
          <w:rFonts w:hint="eastAsia" w:ascii="仿宋" w:hAnsi="仿宋" w:eastAsia="仿宋" w:cs="仿宋"/>
          <w:color w:val="000000"/>
          <w:kern w:val="2"/>
          <w:sz w:val="32"/>
          <w:szCs w:val="32"/>
          <w:u w:val="none"/>
          <w:vertAlign w:val="superscript"/>
          <w:lang w:val="en-US" w:eastAsia="zh-CN" w:bidi="ar-SA"/>
        </w:rPr>
        <w:footnoteReference w:id="2"/>
      </w:r>
      <w:r>
        <w:rPr>
          <w:rFonts w:hint="eastAsia" w:ascii="仿宋" w:hAnsi="仿宋" w:eastAsia="仿宋" w:cs="仿宋"/>
          <w:color w:val="000000"/>
          <w:kern w:val="2"/>
          <w:sz w:val="32"/>
          <w:szCs w:val="32"/>
          <w:u w:val="none"/>
          <w:lang w:val="en-US" w:eastAsia="zh-CN" w:bidi="ar-SA"/>
        </w:rPr>
        <w:t>43341个，从业人员214816人，分别比2018年末增长117.0%和59.7%。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在批发和零售业企业法人单位中，批发业占45.3%，零售业占54.7%。在批发和零售业企业法人单位从业人员中，批发业占40.8%，零售业占59.2%（详见表4-1）。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　按行业中类分组的批发和零售业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46"/>
        <w:gridCol w:w="1478"/>
        <w:gridCol w:w="14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67" w:hRule="atLeast"/>
          <w:jc w:val="center"/>
        </w:trPr>
        <w:tc>
          <w:tcPr>
            <w:tcW w:w="321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89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89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0" w:hRule="atLeast"/>
          <w:jc w:val="center"/>
        </w:trPr>
        <w:tc>
          <w:tcPr>
            <w:tcW w:w="321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890"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43341</w:t>
            </w:r>
          </w:p>
        </w:tc>
        <w:tc>
          <w:tcPr>
            <w:tcW w:w="890"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214816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批发业</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19655</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87540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农、林、牧、渔产品批发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911</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4116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食品、饮料及烟草制品批发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1298</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6769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0"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纺织、服装及家庭用品批发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2060</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8091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文化、体育用品及器材批发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427</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1820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医药及医疗器材批发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5412</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25055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矿产品、建材及化工产品批发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4493</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19697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机械设备、五金产品及电子产品批发</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3492</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15846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贸易经纪与代理</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65</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其他批发业</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1497</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5826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零售业</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23686</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127276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综合零售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5392</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28188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食品、饮料及烟草制品专门零售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2099</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10776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纺织、服装及日用品专门零售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2722</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12715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文化、体育用品及器材专门零售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1049</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5323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医药及医疗器材专门零售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3130</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19954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汽车、摩托车、零配件和燃料及其他动力销售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1945</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15030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家用电器及电子产品专门零售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2033</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9551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五金、家具及室内装饰材料专门零售</w:t>
            </w:r>
          </w:p>
        </w:tc>
        <w:tc>
          <w:tcPr>
            <w:tcW w:w="89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2863</w:t>
            </w:r>
          </w:p>
        </w:tc>
        <w:tc>
          <w:tcPr>
            <w:tcW w:w="89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13704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21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货摊、无店铺及其他零售业</w:t>
            </w:r>
          </w:p>
        </w:tc>
        <w:tc>
          <w:tcPr>
            <w:tcW w:w="890"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2453</w:t>
            </w:r>
          </w:p>
        </w:tc>
        <w:tc>
          <w:tcPr>
            <w:tcW w:w="890"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12035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在批发和零售业企业法人单位中，内资企业占99.95%，港澳台投资企业占0.03%，外商投资企业占0.02%。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在批发和零售业企业法人单位从业人员中，内资企业占99.8%，港澳台投资企业占0.07%，外商投资企业占0.13%（详见表4-2）。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表4-2　按登记注册统计类别分组的批发和零售业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企业法人单位数和从业人员</w:t>
      </w:r>
    </w:p>
    <w:tbl>
      <w:tblPr>
        <w:tblStyle w:val="22"/>
        <w:tblW w:w="4996"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29"/>
        <w:gridCol w:w="2384"/>
        <w:gridCol w:w="238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2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43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3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212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3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43341</w:t>
            </w:r>
          </w:p>
        </w:tc>
        <w:tc>
          <w:tcPr>
            <w:tcW w:w="143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214816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43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43318</w:t>
            </w:r>
          </w:p>
        </w:tc>
        <w:tc>
          <w:tcPr>
            <w:tcW w:w="143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214389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港澳台投资企业</w:t>
            </w:r>
          </w:p>
        </w:tc>
        <w:tc>
          <w:tcPr>
            <w:tcW w:w="143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14</w:t>
            </w:r>
          </w:p>
        </w:tc>
        <w:tc>
          <w:tcPr>
            <w:tcW w:w="143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外商投资企业</w:t>
            </w:r>
          </w:p>
        </w:tc>
        <w:tc>
          <w:tcPr>
            <w:tcW w:w="143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w:t>
            </w:r>
          </w:p>
        </w:tc>
        <w:tc>
          <w:tcPr>
            <w:tcW w:w="1437"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288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2023年末，批发和零售业企业法人单位资产总计1102.23亿元，比2018年末增长85.0%；负债合计503.80亿元，比2018年末增长97.5%。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2023年，批发和零售业企业法人单位全年实现营业收入1789.89亿元，比2018年增长93.3%（详见表4-3）。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表4-3　按行业中类分组的批发和零售业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54"/>
        <w:gridCol w:w="1116"/>
        <w:gridCol w:w="1116"/>
        <w:gridCol w:w="11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298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18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1102.23</w:t>
            </w:r>
          </w:p>
        </w:tc>
        <w:tc>
          <w:tcPr>
            <w:tcW w:w="118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503.80</w:t>
            </w:r>
          </w:p>
        </w:tc>
        <w:tc>
          <w:tcPr>
            <w:tcW w:w="1189"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1789.89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批发业</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636.00</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319.00</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1012.19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农、林、牧、渔产品批发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39.46</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21.35</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94.67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食品、饮料及烟草制品批发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50.23</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18.09</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123.88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纺织、服装及家庭用品批发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48.22</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22.40</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66.17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文化、体育用品及器材批发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14.70</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9.85</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医药及医疗器材批发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198.72</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97.99</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237.79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矿产品、建材及化工产品批发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175.29</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102.21</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290.27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机械设备、五金产品及电子产品批发</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77.06</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34.95</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112.82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贸易经纪与代理</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2.55</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0.42</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其他批发业</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29.77</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11.74</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50.59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零售业</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466.23</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184.80</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777.70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综合零售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96.20</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42.35</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140.84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食品、饮料及烟草制品专门零售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34.38</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9.72</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53.49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纺织、服装及日用品专门零售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36.65</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10.57</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61.60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文化、体育用品及器材专门零售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20.30</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7.67</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31.03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医药及医疗器材专门零售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61.26</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21.17</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91.07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汽车、摩托车、零配件和燃料及其他动力销售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101.45</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55.34</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231.71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家用电器及电子产品专门零售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34.97</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13.42</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50.53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五金、家具及室内装饰材料专门零售</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43.53</w:t>
            </w:r>
          </w:p>
        </w:tc>
        <w:tc>
          <w:tcPr>
            <w:tcW w:w="11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13.35</w:t>
            </w:r>
          </w:p>
        </w:tc>
        <w:tc>
          <w:tcPr>
            <w:tcW w:w="118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62.99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98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货摊、无店铺及其他零售业</w:t>
            </w:r>
          </w:p>
        </w:tc>
        <w:tc>
          <w:tcPr>
            <w:tcW w:w="118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37.49</w:t>
            </w:r>
          </w:p>
        </w:tc>
        <w:tc>
          <w:tcPr>
            <w:tcW w:w="118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11.21</w:t>
            </w:r>
          </w:p>
        </w:tc>
        <w:tc>
          <w:tcPr>
            <w:tcW w:w="118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54.44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二、交通运输、仓储和邮政业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2023年末，全市共有交通运输、仓储和邮政业企业法人单位2575个，从业人员32184人，分别比2018年末增长77.1%和14.1%（详见表4-4）。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表4-4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94"/>
        <w:gridCol w:w="2329"/>
        <w:gridCol w:w="23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6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40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3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6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0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2575</w:t>
            </w:r>
          </w:p>
        </w:tc>
        <w:tc>
          <w:tcPr>
            <w:tcW w:w="1430"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default" w:ascii="Times New Roman" w:hAnsi="Times New Roman" w:eastAsia="宋体" w:cs="宋体"/>
                <w:b/>
                <w:bCs/>
                <w:color w:val="auto"/>
                <w:kern w:val="2"/>
                <w:sz w:val="21"/>
                <w:szCs w:val="21"/>
                <w:highlight w:val="none"/>
                <w:lang w:val="en-US" w:eastAsia="zh-CN" w:bidi="ar-SA"/>
              </w:rPr>
              <w:t>32184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道路运输业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1960</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default" w:ascii="Times New Roman" w:hAnsi="Times New Roman" w:eastAsia="宋体" w:cs="宋体"/>
                <w:i w:val="0"/>
                <w:color w:val="auto"/>
                <w:kern w:val="0"/>
                <w:sz w:val="21"/>
                <w:szCs w:val="21"/>
                <w:highlight w:val="none"/>
                <w:u w:val="none"/>
                <w:lang w:val="en-US" w:eastAsia="zh-CN" w:bidi="ar"/>
              </w:rPr>
              <w:t>23269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6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水上运输业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9</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imes New Roman" w:hAnsi="Times New Roman" w:eastAsia="宋体" w:cs="宋体"/>
                <w:i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航空运输业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9</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eastAsia" w:ascii="Times New Roman" w:hAnsi="Times New Roman" w:eastAsia="宋体" w:cs="宋体"/>
                <w:i w:val="0"/>
                <w:color w:val="auto"/>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6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多式联运和运输代理业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154</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default" w:ascii="Times New Roman" w:hAnsi="Times New Roman" w:eastAsia="宋体" w:cs="宋体"/>
                <w:i w:val="0"/>
                <w:color w:val="auto"/>
                <w:kern w:val="0"/>
                <w:sz w:val="21"/>
                <w:szCs w:val="21"/>
                <w:highlight w:val="none"/>
                <w:u w:val="none"/>
                <w:lang w:val="en-US" w:eastAsia="zh-CN" w:bidi="ar"/>
              </w:rPr>
              <w:t>1331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装卸搬运和仓储业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353</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default" w:ascii="Times New Roman" w:hAnsi="Times New Roman" w:eastAsia="宋体" w:cs="宋体"/>
                <w:i w:val="0"/>
                <w:color w:val="auto"/>
                <w:kern w:val="0"/>
                <w:sz w:val="21"/>
                <w:szCs w:val="21"/>
                <w:highlight w:val="none"/>
                <w:u w:val="none"/>
                <w:lang w:val="en-US" w:eastAsia="zh-CN" w:bidi="ar"/>
              </w:rPr>
              <w:t>4106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65"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邮政业</w:t>
            </w:r>
          </w:p>
        </w:tc>
        <w:tc>
          <w:tcPr>
            <w:tcW w:w="1403"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auto"/>
                <w:kern w:val="2"/>
                <w:sz w:val="21"/>
                <w:szCs w:val="21"/>
                <w:highlight w:val="none"/>
                <w:lang w:val="en-US" w:eastAsia="zh-CN" w:bidi="ar-SA"/>
              </w:rPr>
              <w:t>88</w:t>
            </w:r>
          </w:p>
        </w:tc>
        <w:tc>
          <w:tcPr>
            <w:tcW w:w="1430"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00000"/>
                <w:kern w:val="0"/>
                <w:sz w:val="21"/>
                <w:szCs w:val="21"/>
                <w:highlight w:val="none"/>
                <w:u w:val="none"/>
                <w:lang w:val="en" w:eastAsia="zh-CN" w:bidi="ar"/>
              </w:rPr>
            </w:pPr>
            <w:r>
              <w:rPr>
                <w:rFonts w:hint="default" w:ascii="Times New Roman" w:hAnsi="Times New Roman" w:eastAsia="宋体" w:cs="宋体"/>
                <w:i w:val="0"/>
                <w:color w:val="auto"/>
                <w:kern w:val="0"/>
                <w:sz w:val="21"/>
                <w:szCs w:val="21"/>
                <w:highlight w:val="none"/>
                <w:u w:val="none"/>
                <w:lang w:val="en-US" w:eastAsia="zh-CN" w:bidi="ar"/>
              </w:rPr>
              <w:t>3370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3"/>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楷体" w:cs="楷体"/>
                <w:color w:val="000000"/>
                <w:kern w:val="0"/>
                <w:sz w:val="21"/>
                <w:szCs w:val="21"/>
                <w:highlight w:val="none"/>
                <w:lang w:val="en-US" w:eastAsia="zh-CN" w:bidi="ar"/>
              </w:rPr>
              <w:t>注：表中合计数包含管道运输业单位数量和从业人员，因单位数量过少，为保护普查对象信息，不再单列。</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在交通运输、仓储和邮政业企业法人单位中，内资企业占99.2%，港澳台投资企业、外商投资企业和其他统计类别占0.8%。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在交通运输、仓储和邮政业企业法人单位从业人员中，内资企业占99.9%，港澳台投资企业、外商投资企业和其他统计类别占0.1%（详见表4-5）。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表4-5　按登记注册统计类别分组的交通运输、仓储和邮政业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78"/>
        <w:gridCol w:w="1896"/>
        <w:gridCol w:w="182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75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114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09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75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142"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2575</w:t>
            </w:r>
          </w:p>
        </w:tc>
        <w:tc>
          <w:tcPr>
            <w:tcW w:w="1099"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32184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75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142"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2554</w:t>
            </w:r>
          </w:p>
        </w:tc>
        <w:tc>
          <w:tcPr>
            <w:tcW w:w="109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32140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75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港澳台投资企业、外商投资企业和其他统计类别</w:t>
            </w:r>
          </w:p>
        </w:tc>
        <w:tc>
          <w:tcPr>
            <w:tcW w:w="1142"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i w:val="0"/>
                <w:color w:val="000000"/>
                <w:kern w:val="0"/>
                <w:sz w:val="21"/>
                <w:szCs w:val="21"/>
                <w:highlight w:val="none"/>
                <w:u w:val="none"/>
                <w:lang w:val="en-US" w:eastAsia="zh-CN" w:bidi="ar"/>
              </w:rPr>
            </w:pPr>
            <w:r>
              <w:rPr>
                <w:rFonts w:hint="eastAsia" w:ascii="Times New Roman" w:hAnsi="Times New Roman" w:eastAsia="宋体" w:cs="宋体"/>
                <w:b w:val="0"/>
                <w:bCs w:val="0"/>
                <w:i w:val="0"/>
                <w:color w:val="auto"/>
                <w:kern w:val="0"/>
                <w:sz w:val="21"/>
                <w:szCs w:val="21"/>
                <w:highlight w:val="none"/>
                <w:u w:val="none"/>
                <w:lang w:val="en-US" w:eastAsia="zh-CN" w:bidi="ar"/>
              </w:rPr>
              <w:t>21</w:t>
            </w:r>
          </w:p>
        </w:tc>
        <w:tc>
          <w:tcPr>
            <w:tcW w:w="1099"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i w:val="0"/>
                <w:color w:val="000000"/>
                <w:kern w:val="0"/>
                <w:sz w:val="21"/>
                <w:szCs w:val="21"/>
                <w:highlight w:val="none"/>
                <w:u w:val="none"/>
                <w:lang w:val="en-US" w:eastAsia="zh-CN" w:bidi="ar"/>
              </w:rPr>
            </w:pPr>
            <w:r>
              <w:rPr>
                <w:rFonts w:hint="eastAsia" w:ascii="Times New Roman" w:hAnsi="Times New Roman" w:eastAsia="宋体" w:cs="宋体"/>
                <w:b w:val="0"/>
                <w:bCs w:val="0"/>
                <w:i w:val="0"/>
                <w:color w:val="auto"/>
                <w:kern w:val="0"/>
                <w:sz w:val="21"/>
                <w:szCs w:val="21"/>
                <w:highlight w:val="none"/>
                <w:u w:val="none"/>
                <w:lang w:val="en-US" w:eastAsia="zh-CN" w:bidi="ar"/>
              </w:rPr>
              <w:t>44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2023年末，交通运输、仓储和邮政业企业法人单位资产总计264.74亿元，比2018年末增长57.0%；负债合计163.46亿元，比2018年末增长45.1%。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2023年，交通运输、仓储和邮政业企业法人单位全年实现营业收入160.96亿元，比2018年增长58.1%（详见表4-6）。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表4-6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企业法人单位主要经济指标</w:t>
      </w:r>
    </w:p>
    <w:tbl>
      <w:tblPr>
        <w:tblStyle w:val="22"/>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1"/>
        <w:gridCol w:w="1577"/>
        <w:gridCol w:w="1577"/>
        <w:gridCol w:w="15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4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5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264.74</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163.46</w:t>
            </w:r>
          </w:p>
        </w:tc>
        <w:tc>
          <w:tcPr>
            <w:tcW w:w="95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160.96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道路运输业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167.19</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98.51</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114.64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水上运输业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0.17</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0.05</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航空运输业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0.11</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0.01</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管道运输业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3.85</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2.66</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多式联运和运输代理业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6.21</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2.76</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5.42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装卸搬运和仓储业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67.39</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55.80</w:t>
            </w:r>
          </w:p>
        </w:tc>
        <w:tc>
          <w:tcPr>
            <w:tcW w:w="9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20.20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邮政业</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auto"/>
                <w:kern w:val="2"/>
                <w:sz w:val="21"/>
                <w:szCs w:val="21"/>
                <w:highlight w:val="none"/>
                <w:lang w:val="en" w:eastAsia="zh-CN" w:bidi="ar-SA"/>
              </w:rPr>
            </w:pPr>
            <w:r>
              <w:rPr>
                <w:rFonts w:hint="default" w:ascii="Times New Roman" w:hAnsi="Times New Roman" w:eastAsia="宋体" w:cs="宋体"/>
                <w:b w:val="0"/>
                <w:bCs w:val="0"/>
                <w:color w:val="auto"/>
                <w:kern w:val="2"/>
                <w:sz w:val="21"/>
                <w:szCs w:val="21"/>
                <w:highlight w:val="none"/>
                <w:lang w:val="en" w:eastAsia="zh-CN" w:bidi="ar-SA"/>
              </w:rPr>
              <w:t>19.82</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3.67</w:t>
            </w:r>
          </w:p>
        </w:tc>
        <w:tc>
          <w:tcPr>
            <w:tcW w:w="95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19.98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三、住宿和餐饮业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2023年末，全市共有住宿和餐饮业企业法人单位1410个，从业人员12420人，分别比2018年末增长81.5%和8.9%。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在住宿和餐饮业企业法人单位中，住宿业占27.2%，餐饮业占72.8%。在住宿和餐饮业企业法人单位从业人员中，住宿业占40.8%，餐饮业占59.2%（详见表4-7）。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表4-7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企业法人单位数和从业人员</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82"/>
        <w:gridCol w:w="2312"/>
        <w:gridCol w:w="23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682"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Times New Roman" w:hAnsi="Times New Roman" w:eastAsia="宋体" w:cs="宋体"/>
                <w:color w:val="000000"/>
                <w:sz w:val="21"/>
                <w:szCs w:val="21"/>
                <w:highlight w:val="none"/>
              </w:rPr>
            </w:pPr>
          </w:p>
        </w:tc>
        <w:tc>
          <w:tcPr>
            <w:tcW w:w="231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2312"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231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1410</w:t>
            </w:r>
          </w:p>
        </w:tc>
        <w:tc>
          <w:tcPr>
            <w:tcW w:w="2312"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12420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住宿业</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384</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5071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旅游饭店</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48</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1185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一般旅馆</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298</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3497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民宿服务</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22</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其他住宿业</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kern w:val="2"/>
                <w:sz w:val="21"/>
                <w:szCs w:val="21"/>
                <w:highlight w:val="none"/>
                <w:lang w:val="en-US" w:eastAsia="zh-CN" w:bidi="ar-SA"/>
              </w:rPr>
              <w:t>14</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宋体" w:cs="宋体"/>
                <w:b w:val="0"/>
                <w:bCs w:val="0"/>
                <w:color w:val="auto"/>
                <w:kern w:val="2"/>
                <w:sz w:val="21"/>
                <w:szCs w:val="21"/>
                <w:highlight w:val="none"/>
                <w:lang w:val="en-US" w:eastAsia="zh-CN" w:bidi="ar-SA"/>
              </w:rPr>
              <w:t>245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餐饮业</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1026</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7349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正餐服务</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898</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6501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快餐服务</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45</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饮料及冷饮服务</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12</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682"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餐饮配送及外卖送餐服务</w:t>
            </w:r>
          </w:p>
        </w:tc>
        <w:tc>
          <w:tcPr>
            <w:tcW w:w="231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16</w:t>
            </w:r>
          </w:p>
        </w:tc>
        <w:tc>
          <w:tcPr>
            <w:tcW w:w="2312"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682"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其他餐饮业</w:t>
            </w:r>
          </w:p>
        </w:tc>
        <w:tc>
          <w:tcPr>
            <w:tcW w:w="231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55</w:t>
            </w:r>
          </w:p>
        </w:tc>
        <w:tc>
          <w:tcPr>
            <w:tcW w:w="2312"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8306" w:type="dxa"/>
            <w:gridSpan w:val="3"/>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auto"/>
              <w:rPr>
                <w:rFonts w:hint="eastAsia" w:ascii="Times New Roman" w:hAnsi="Times New Roman" w:eastAsia="宋体" w:cs="宋体"/>
                <w:b w:val="0"/>
                <w:bCs w:val="0"/>
                <w:color w:val="auto"/>
                <w:kern w:val="2"/>
                <w:sz w:val="21"/>
                <w:szCs w:val="21"/>
                <w:highlight w:val="none"/>
                <w:lang w:val="en-US" w:eastAsia="zh-CN" w:bidi="ar-SA"/>
              </w:rPr>
            </w:pPr>
            <w:r>
              <w:rPr>
                <w:rFonts w:hint="eastAsia" w:ascii="Times New Roman" w:hAnsi="Times New Roman" w:eastAsia="楷体" w:cs="楷体"/>
                <w:color w:val="000000"/>
                <w:kern w:val="0"/>
                <w:sz w:val="21"/>
                <w:szCs w:val="21"/>
                <w:highlight w:val="none"/>
                <w:lang w:val="en-US" w:eastAsia="zh-CN" w:bidi="ar"/>
              </w:rPr>
              <w:t>注：表中合计数和住宿业包含露营地服务单位数量和从业人员，因单位数量过少，为保护普查对象信息，不再单列。</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2023年末，住宿和餐饮业企业法人单位资产总计41.58亿元，比2018年末增长51.1%；负债合计24.74亿元，比2018年末增长55.9%。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2023年，住宿和餐饮业企业法人单位全年实现营业收入23.57亿元，比2018年增长56.9%（详见表4-8）。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表4-8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企业法人单位主要经济指标</w:t>
      </w:r>
    </w:p>
    <w:tbl>
      <w:tblPr>
        <w:tblStyle w:val="22"/>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4"/>
        <w:gridCol w:w="1560"/>
        <w:gridCol w:w="1561"/>
        <w:gridCol w:w="15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218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93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41.58</w:t>
            </w:r>
          </w:p>
        </w:tc>
        <w:tc>
          <w:tcPr>
            <w:tcW w:w="93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24.74</w:t>
            </w:r>
          </w:p>
        </w:tc>
        <w:tc>
          <w:tcPr>
            <w:tcW w:w="939"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23.57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住宿业</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29.66</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18.95</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9.36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旅游饭店</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7.90</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5.23</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一般旅馆</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20.61</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13.52</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6.61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民宿服务</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0.90</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0.15</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其他住宿业</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0.25</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0.05</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餐饮业</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11.92</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5.79</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auto"/>
                <w:kern w:val="2"/>
                <w:sz w:val="21"/>
                <w:szCs w:val="21"/>
                <w:highlight w:val="none"/>
                <w:lang w:val="en" w:eastAsia="zh-CN" w:bidi="ar-SA"/>
              </w:rPr>
            </w:pPr>
            <w:r>
              <w:rPr>
                <w:rFonts w:hint="eastAsia" w:ascii="Times New Roman" w:hAnsi="Times New Roman" w:eastAsia="宋体" w:cs="宋体"/>
                <w:b/>
                <w:bCs/>
                <w:color w:val="auto"/>
                <w:kern w:val="2"/>
                <w:sz w:val="21"/>
                <w:szCs w:val="21"/>
                <w:highlight w:val="none"/>
                <w:lang w:val="en-US" w:eastAsia="zh-CN" w:bidi="ar-SA"/>
              </w:rPr>
              <w:t>14.22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正餐服务</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10.32</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5.20</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12.35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快餐服务</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0.54</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0.31</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0.48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饮料及冷饮服务</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0.10</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0.03</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餐饮配送及外卖送餐服务</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0.62</w:t>
            </w:r>
          </w:p>
        </w:tc>
        <w:tc>
          <w:tcPr>
            <w:tcW w:w="93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0.16</w:t>
            </w:r>
          </w:p>
        </w:tc>
        <w:tc>
          <w:tcPr>
            <w:tcW w:w="93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其他餐饮业</w:t>
            </w:r>
          </w:p>
        </w:tc>
        <w:tc>
          <w:tcPr>
            <w:tcW w:w="93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0.34</w:t>
            </w:r>
          </w:p>
        </w:tc>
        <w:tc>
          <w:tcPr>
            <w:tcW w:w="93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0.10</w:t>
            </w:r>
          </w:p>
        </w:tc>
        <w:tc>
          <w:tcPr>
            <w:tcW w:w="939"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val="0"/>
                <w:color w:val="auto"/>
                <w:kern w:val="2"/>
                <w:sz w:val="21"/>
                <w:szCs w:val="21"/>
                <w:highlight w:val="none"/>
                <w:lang w:val="en" w:eastAsia="zh-CN" w:bidi="ar-SA"/>
              </w:rPr>
            </w:pPr>
            <w:r>
              <w:rPr>
                <w:rFonts w:hint="eastAsia" w:ascii="Times New Roman" w:hAnsi="Times New Roman" w:eastAsia="宋体" w:cs="宋体"/>
                <w:b w:val="0"/>
                <w:bCs w:val="0"/>
                <w:color w:val="auto"/>
                <w:kern w:val="2"/>
                <w:sz w:val="21"/>
                <w:szCs w:val="21"/>
                <w:highlight w:val="none"/>
                <w:lang w:val="en-US" w:eastAsia="zh-CN" w:bidi="ar-SA"/>
              </w:rPr>
              <w:t>0.67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1"/>
        <w:rPr>
          <w:rFonts w:hint="eastAsia" w:ascii="黑体" w:hAnsi="黑体" w:eastAsia="黑体" w:cs="黑体"/>
          <w:color w:val="000000"/>
          <w:kern w:val="2"/>
          <w:sz w:val="32"/>
          <w:szCs w:val="32"/>
          <w:u w:val="none"/>
          <w:lang w:val="en-US" w:eastAsia="zh-CN" w:bidi="ar-SA"/>
        </w:rPr>
      </w:pPr>
      <w:r>
        <w:rPr>
          <w:rFonts w:hint="eastAsia" w:ascii="黑体" w:hAnsi="黑体" w:eastAsia="黑体" w:cs="黑体"/>
          <w:color w:val="000000"/>
          <w:kern w:val="2"/>
          <w:sz w:val="32"/>
          <w:szCs w:val="32"/>
          <w:u w:val="none"/>
          <w:lang w:val="en-US" w:eastAsia="zh-CN" w:bidi="ar-SA"/>
        </w:rPr>
        <w:t>四、信息传输、软件和信息技术服务业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2023年末，全市共有信息传输、软件和信息技术服务业企业法人单位4267个，从业人员29338人，分别比2018年末增长112.7%和93.6%（详见表4-9）。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表4-9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63"/>
        <w:gridCol w:w="2321"/>
        <w:gridCol w:w="23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3663"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0"/>
              <w:jc w:val="center"/>
              <w:textAlignment w:val="auto"/>
              <w:rPr>
                <w:rFonts w:hint="eastAsia" w:ascii="Times New Roman" w:hAnsi="Times New Roman" w:eastAsia="宋体" w:cs="宋体"/>
                <w:color w:val="000000"/>
                <w:sz w:val="21"/>
                <w:szCs w:val="21"/>
                <w:highlight w:val="none"/>
              </w:rPr>
            </w:pPr>
          </w:p>
        </w:tc>
        <w:tc>
          <w:tcPr>
            <w:tcW w:w="232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2322"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63"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232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4267</w:t>
            </w:r>
          </w:p>
        </w:tc>
        <w:tc>
          <w:tcPr>
            <w:tcW w:w="2322"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29338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6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电信、广播电视和卫星传输服务</w:t>
            </w:r>
          </w:p>
        </w:tc>
        <w:tc>
          <w:tcPr>
            <w:tcW w:w="232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69</w:t>
            </w:r>
          </w:p>
        </w:tc>
        <w:tc>
          <w:tcPr>
            <w:tcW w:w="232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4590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6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互联网和相关服务</w:t>
            </w:r>
          </w:p>
        </w:tc>
        <w:tc>
          <w:tcPr>
            <w:tcW w:w="232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1202</w:t>
            </w:r>
          </w:p>
        </w:tc>
        <w:tc>
          <w:tcPr>
            <w:tcW w:w="2322"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6765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663"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软件和信息技术服务业</w:t>
            </w:r>
          </w:p>
        </w:tc>
        <w:tc>
          <w:tcPr>
            <w:tcW w:w="232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2996</w:t>
            </w:r>
          </w:p>
        </w:tc>
        <w:tc>
          <w:tcPr>
            <w:tcW w:w="2322"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17983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在信息传输、软件和信息技术服务业企业法人单位中，内资企业占99.6%，港澳台投资企业和其他统计类别占0.4%。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在信息传输、软件和信息技术服务业企业法人单位从业人员中，内资企业占93.9%，港澳台投资企业和其他统计类别占6.1%（详见表4-10）。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8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表4-10　按登记注册统计类别分组的信息传输、软件和信息技术服务业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8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0"/>
        <w:gridCol w:w="2324"/>
        <w:gridCol w:w="232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680" w:hRule="atLeast"/>
          <w:jc w:val="center"/>
        </w:trPr>
        <w:tc>
          <w:tcPr>
            <w:tcW w:w="219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p>
        </w:tc>
        <w:tc>
          <w:tcPr>
            <w:tcW w:w="14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0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9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00"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4267</w:t>
            </w:r>
          </w:p>
        </w:tc>
        <w:tc>
          <w:tcPr>
            <w:tcW w:w="1400"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b/>
                <w:bCs/>
                <w:color w:val="000000"/>
                <w:kern w:val="2"/>
                <w:sz w:val="21"/>
                <w:szCs w:val="21"/>
                <w:highlight w:val="none"/>
                <w:lang w:val="en-US" w:eastAsia="zh-CN" w:bidi="ar-SA"/>
              </w:rPr>
            </w:pPr>
            <w:r>
              <w:rPr>
                <w:rFonts w:hint="eastAsia" w:ascii="Times New Roman" w:hAnsi="Times New Roman" w:eastAsia="宋体" w:cs="宋体"/>
                <w:b/>
                <w:bCs/>
                <w:color w:val="000000"/>
                <w:kern w:val="2"/>
                <w:sz w:val="21"/>
                <w:szCs w:val="21"/>
                <w:highlight w:val="none"/>
                <w:lang w:val="en-US" w:eastAsia="zh-CN" w:bidi="ar-SA"/>
              </w:rPr>
              <w:t>29338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9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400"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4250</w:t>
            </w:r>
          </w:p>
        </w:tc>
        <w:tc>
          <w:tcPr>
            <w:tcW w:w="1400"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27563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9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港澳台投资企业和其他统计类别</w:t>
            </w:r>
          </w:p>
        </w:tc>
        <w:tc>
          <w:tcPr>
            <w:tcW w:w="1400"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17</w:t>
            </w:r>
          </w:p>
        </w:tc>
        <w:tc>
          <w:tcPr>
            <w:tcW w:w="1400" w:type="pct"/>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1775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outlineLvl w:val="2"/>
        <w:rPr>
          <w:rFonts w:hint="eastAsia" w:ascii="楷体_GB2312" w:hAnsi="楷体_GB2312" w:eastAsia="楷体_GB2312" w:cs="楷体_GB2312"/>
          <w:b/>
          <w:bCs/>
          <w:color w:val="000000"/>
          <w:kern w:val="2"/>
          <w:sz w:val="32"/>
          <w:szCs w:val="32"/>
          <w:u w:val="none"/>
          <w:lang w:val="en-US" w:eastAsia="zh-CN" w:bidi="ar-SA"/>
        </w:rPr>
      </w:pPr>
      <w:r>
        <w:rPr>
          <w:rFonts w:hint="eastAsia" w:ascii="楷体_GB2312" w:hAnsi="楷体_GB2312" w:eastAsia="楷体_GB2312" w:cs="楷体_GB2312"/>
          <w:b/>
          <w:bCs/>
          <w:color w:val="000000"/>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2023年末，信息传输、软件和信息技术服务业企业法人单位资产总计</w:t>
      </w:r>
      <w:r>
        <w:rPr>
          <w:rFonts w:hint="eastAsia" w:ascii="仿宋" w:hAnsi="仿宋" w:eastAsia="仿宋" w:cs="仿宋"/>
          <w:color w:val="000000"/>
          <w:sz w:val="32"/>
          <w:szCs w:val="32"/>
          <w:u w:val="none"/>
          <w:lang w:val="en-US" w:eastAsia="zh-CN"/>
        </w:rPr>
        <w:t>125.5</w:t>
      </w:r>
      <w:r>
        <w:rPr>
          <w:rFonts w:hint="eastAsia" w:ascii="仿宋" w:hAnsi="仿宋" w:eastAsia="仿宋" w:cs="仿宋"/>
          <w:color w:val="000000"/>
          <w:spacing w:val="-6"/>
          <w:kern w:val="2"/>
          <w:sz w:val="32"/>
          <w:szCs w:val="32"/>
          <w:u w:val="none"/>
          <w:lang w:val="en-US" w:eastAsia="zh-CN" w:bidi="ar-SA"/>
        </w:rPr>
        <w:t>亿元，比2018年末增长</w:t>
      </w:r>
      <w:r>
        <w:rPr>
          <w:rFonts w:hint="eastAsia" w:ascii="仿宋" w:hAnsi="仿宋" w:eastAsia="仿宋" w:cs="仿宋"/>
          <w:color w:val="000000"/>
          <w:sz w:val="32"/>
          <w:szCs w:val="32"/>
          <w:u w:val="none"/>
          <w:lang w:val="en-US" w:eastAsia="zh-CN"/>
        </w:rPr>
        <w:t>46.9</w:t>
      </w:r>
      <w:r>
        <w:rPr>
          <w:rFonts w:hint="eastAsia" w:ascii="仿宋" w:hAnsi="仿宋" w:eastAsia="仿宋" w:cs="仿宋"/>
          <w:color w:val="000000"/>
          <w:spacing w:val="-6"/>
          <w:kern w:val="2"/>
          <w:sz w:val="32"/>
          <w:szCs w:val="32"/>
          <w:u w:val="none"/>
          <w:lang w:val="en-US" w:eastAsia="zh-CN" w:bidi="ar-SA"/>
        </w:rPr>
        <w:t>%；负债合计</w:t>
      </w:r>
      <w:r>
        <w:rPr>
          <w:rFonts w:hint="eastAsia" w:ascii="仿宋" w:hAnsi="仿宋" w:eastAsia="仿宋" w:cs="仿宋"/>
          <w:color w:val="000000"/>
          <w:sz w:val="32"/>
          <w:szCs w:val="32"/>
          <w:u w:val="none"/>
          <w:lang w:val="en-US" w:eastAsia="zh-CN"/>
        </w:rPr>
        <w:t>58.74</w:t>
      </w:r>
      <w:r>
        <w:rPr>
          <w:rFonts w:hint="eastAsia" w:ascii="仿宋" w:hAnsi="仿宋" w:eastAsia="仿宋" w:cs="仿宋"/>
          <w:color w:val="000000"/>
          <w:spacing w:val="-6"/>
          <w:kern w:val="2"/>
          <w:sz w:val="32"/>
          <w:szCs w:val="32"/>
          <w:u w:val="none"/>
          <w:lang w:val="en-US" w:eastAsia="zh-CN" w:bidi="ar-SA"/>
        </w:rPr>
        <w:t>亿元，比2018年末增长</w:t>
      </w:r>
      <w:r>
        <w:rPr>
          <w:rFonts w:hint="eastAsia" w:ascii="仿宋" w:hAnsi="仿宋" w:eastAsia="仿宋" w:cs="仿宋"/>
          <w:color w:val="000000"/>
          <w:sz w:val="32"/>
          <w:szCs w:val="32"/>
          <w:u w:val="none"/>
          <w:lang w:val="en-US" w:eastAsia="zh-CN"/>
        </w:rPr>
        <w:t>46.0</w:t>
      </w:r>
      <w:r>
        <w:rPr>
          <w:rFonts w:hint="eastAsia" w:ascii="仿宋" w:hAnsi="仿宋" w:eastAsia="仿宋" w:cs="仿宋"/>
          <w:color w:val="000000"/>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eastAsia" w:ascii="仿宋" w:hAnsi="仿宋" w:eastAsia="仿宋" w:cs="仿宋"/>
          <w:b/>
          <w:i w:val="0"/>
          <w:caps w:val="0"/>
          <w:color w:val="000000"/>
          <w:spacing w:val="0"/>
          <w:kern w:val="0"/>
          <w:sz w:val="32"/>
          <w:szCs w:val="32"/>
          <w:highlight w:val="none"/>
          <w:lang w:val="en-US" w:eastAsia="zh-CN" w:bidi="ar"/>
        </w:rPr>
      </w:pPr>
      <w:r>
        <w:rPr>
          <w:rFonts w:hint="eastAsia" w:ascii="仿宋" w:hAnsi="仿宋" w:eastAsia="仿宋" w:cs="仿宋"/>
          <w:color w:val="000000"/>
          <w:spacing w:val="-6"/>
          <w:kern w:val="2"/>
          <w:sz w:val="32"/>
          <w:szCs w:val="32"/>
          <w:u w:val="none"/>
          <w:lang w:val="en-US" w:eastAsia="zh-CN" w:bidi="ar-SA"/>
        </w:rPr>
        <w:t>2023年，信息传输、软件和信息技术服务业企业法人单位全年实现营业收入</w:t>
      </w:r>
      <w:r>
        <w:rPr>
          <w:rFonts w:hint="eastAsia" w:ascii="仿宋" w:hAnsi="仿宋" w:eastAsia="仿宋" w:cs="仿宋"/>
          <w:color w:val="000000"/>
          <w:sz w:val="32"/>
          <w:szCs w:val="32"/>
          <w:u w:val="none"/>
          <w:lang w:val="en-US" w:eastAsia="zh-CN"/>
        </w:rPr>
        <w:t>133.29</w:t>
      </w:r>
      <w:r>
        <w:rPr>
          <w:rFonts w:hint="eastAsia" w:ascii="仿宋" w:hAnsi="仿宋" w:eastAsia="仿宋" w:cs="仿宋"/>
          <w:color w:val="000000"/>
          <w:spacing w:val="-6"/>
          <w:kern w:val="2"/>
          <w:sz w:val="32"/>
          <w:szCs w:val="32"/>
          <w:u w:val="none"/>
          <w:lang w:val="en-US" w:eastAsia="zh-CN" w:bidi="ar-SA"/>
        </w:rPr>
        <w:t>亿元，比2018年增长</w:t>
      </w:r>
      <w:r>
        <w:rPr>
          <w:rFonts w:hint="eastAsia" w:ascii="仿宋" w:hAnsi="仿宋" w:eastAsia="仿宋" w:cs="仿宋"/>
          <w:color w:val="000000"/>
          <w:sz w:val="32"/>
          <w:szCs w:val="32"/>
          <w:u w:val="none"/>
          <w:lang w:val="en-US" w:eastAsia="zh-CN"/>
        </w:rPr>
        <w:t>92.8</w:t>
      </w:r>
      <w:r>
        <w:rPr>
          <w:rFonts w:hint="eastAsia" w:ascii="仿宋" w:hAnsi="仿宋" w:eastAsia="仿宋" w:cs="仿宋"/>
          <w:color w:val="000000"/>
          <w:spacing w:val="-6"/>
          <w:kern w:val="2"/>
          <w:sz w:val="32"/>
          <w:szCs w:val="32"/>
          <w:u w:val="none"/>
          <w:lang w:val="en-US" w:eastAsia="zh-CN" w:bidi="ar-SA"/>
        </w:rPr>
        <w:t>%（详见表4-11）。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表4-11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16"/>
        <w:gridCol w:w="1495"/>
        <w:gridCol w:w="1495"/>
        <w:gridCol w:w="14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97"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0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0" w:hRule="atLeast"/>
          <w:jc w:val="center"/>
        </w:trPr>
        <w:tc>
          <w:tcPr>
            <w:tcW w:w="2297"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900"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125.50</w:t>
            </w:r>
          </w:p>
        </w:tc>
        <w:tc>
          <w:tcPr>
            <w:tcW w:w="900"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58.74</w:t>
            </w:r>
          </w:p>
        </w:tc>
        <w:tc>
          <w:tcPr>
            <w:tcW w:w="901"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133.29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电信、广播电视和卫星传输服务</w:t>
            </w:r>
          </w:p>
        </w:tc>
        <w:tc>
          <w:tcPr>
            <w:tcW w:w="900"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61.47</w:t>
            </w:r>
          </w:p>
        </w:tc>
        <w:tc>
          <w:tcPr>
            <w:tcW w:w="900"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37.33</w:t>
            </w:r>
          </w:p>
        </w:tc>
        <w:tc>
          <w:tcPr>
            <w:tcW w:w="901"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54.79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互联网和相关服务</w:t>
            </w:r>
          </w:p>
        </w:tc>
        <w:tc>
          <w:tcPr>
            <w:tcW w:w="900"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15.70</w:t>
            </w:r>
          </w:p>
        </w:tc>
        <w:tc>
          <w:tcPr>
            <w:tcW w:w="900"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4.04</w:t>
            </w:r>
          </w:p>
        </w:tc>
        <w:tc>
          <w:tcPr>
            <w:tcW w:w="901"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21.82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软件和信息技术服务业</w:t>
            </w:r>
          </w:p>
        </w:tc>
        <w:tc>
          <w:tcPr>
            <w:tcW w:w="900"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48.33</w:t>
            </w:r>
          </w:p>
        </w:tc>
        <w:tc>
          <w:tcPr>
            <w:tcW w:w="900"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17.37</w:t>
            </w:r>
          </w:p>
        </w:tc>
        <w:tc>
          <w:tcPr>
            <w:tcW w:w="901" w:type="pct"/>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56.68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五、金融业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16" w:firstLineChars="200"/>
        <w:jc w:val="both"/>
        <w:textAlignment w:val="auto"/>
        <w:rPr>
          <w:rFonts w:hint="default" w:ascii="Times New Roman" w:hAnsi="Times New Roman" w:eastAsia="方正仿宋_GBK" w:cs="Times New Roman"/>
          <w:color w:val="000000"/>
          <w:spacing w:val="-6"/>
          <w:kern w:val="2"/>
          <w:sz w:val="32"/>
          <w:szCs w:val="32"/>
          <w:u w:val="none"/>
          <w:lang w:val="en" w:eastAsia="zh-CN" w:bidi="ar-SA"/>
        </w:rPr>
      </w:pPr>
      <w:r>
        <w:rPr>
          <w:rFonts w:hint="eastAsia" w:ascii="仿宋" w:hAnsi="仿宋" w:eastAsia="仿宋" w:cs="仿宋"/>
          <w:color w:val="000000"/>
          <w:spacing w:val="-6"/>
          <w:kern w:val="2"/>
          <w:sz w:val="32"/>
          <w:szCs w:val="32"/>
          <w:u w:val="none"/>
          <w:lang w:val="en" w:eastAsia="zh-CN" w:bidi="ar-SA"/>
        </w:rPr>
        <w:t>2023年末，全市共有金融业企业法人单位111个，从业人员2</w:t>
      </w:r>
      <w:r>
        <w:rPr>
          <w:rFonts w:hint="eastAsia" w:ascii="仿宋" w:hAnsi="仿宋" w:eastAsia="仿宋" w:cs="仿宋"/>
          <w:color w:val="000000"/>
          <w:spacing w:val="-6"/>
          <w:kern w:val="2"/>
          <w:sz w:val="32"/>
          <w:szCs w:val="32"/>
          <w:u w:val="none"/>
          <w:lang w:val="en-US" w:eastAsia="zh-CN" w:bidi="ar-SA"/>
        </w:rPr>
        <w:t>6596</w:t>
      </w:r>
      <w:r>
        <w:rPr>
          <w:rFonts w:hint="eastAsia" w:ascii="仿宋" w:hAnsi="仿宋" w:eastAsia="仿宋" w:cs="仿宋"/>
          <w:color w:val="000000"/>
          <w:spacing w:val="-6"/>
          <w:kern w:val="2"/>
          <w:sz w:val="32"/>
          <w:szCs w:val="32"/>
          <w:u w:val="none"/>
          <w:lang w:val="en" w:eastAsia="zh-CN" w:bidi="ar-SA"/>
        </w:rPr>
        <w:t>人（详见表4-1</w:t>
      </w:r>
      <w:r>
        <w:rPr>
          <w:rFonts w:hint="eastAsia" w:ascii="仿宋" w:hAnsi="仿宋" w:eastAsia="仿宋" w:cs="仿宋"/>
          <w:color w:val="000000"/>
          <w:spacing w:val="-6"/>
          <w:kern w:val="2"/>
          <w:sz w:val="32"/>
          <w:szCs w:val="32"/>
          <w:u w:val="none"/>
          <w:lang w:val="en-US" w:eastAsia="zh-CN" w:bidi="ar-SA"/>
        </w:rPr>
        <w:t>2</w:t>
      </w:r>
      <w:r>
        <w:rPr>
          <w:rFonts w:hint="eastAsia" w:ascii="仿宋" w:hAnsi="仿宋" w:eastAsia="仿宋" w:cs="仿宋"/>
          <w:color w:val="000000"/>
          <w:spacing w:val="-6"/>
          <w:kern w:val="2"/>
          <w:sz w:val="32"/>
          <w:szCs w:val="32"/>
          <w:u w:val="none"/>
          <w:lang w:val="en"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8"/>
          <w:szCs w:val="28"/>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表4-12　按行业大类分组的金融业企业法人单位数和从业人员</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3"/>
        <w:gridCol w:w="2338"/>
        <w:gridCol w:w="23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67" w:hRule="atLeast"/>
          <w:jc w:val="center"/>
        </w:trPr>
        <w:tc>
          <w:tcPr>
            <w:tcW w:w="218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40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0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0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111</w:t>
            </w:r>
          </w:p>
        </w:tc>
        <w:tc>
          <w:tcPr>
            <w:tcW w:w="1408"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26596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货币金融服务</w:t>
            </w:r>
          </w:p>
        </w:tc>
        <w:tc>
          <w:tcPr>
            <w:tcW w:w="140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42</w:t>
            </w:r>
          </w:p>
        </w:tc>
        <w:tc>
          <w:tcPr>
            <w:tcW w:w="140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9365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资本市场服务</w:t>
            </w:r>
          </w:p>
        </w:tc>
        <w:tc>
          <w:tcPr>
            <w:tcW w:w="140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w:t>
            </w:r>
          </w:p>
        </w:tc>
        <w:tc>
          <w:tcPr>
            <w:tcW w:w="140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保险业</w:t>
            </w:r>
          </w:p>
        </w:tc>
        <w:tc>
          <w:tcPr>
            <w:tcW w:w="140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58</w:t>
            </w:r>
          </w:p>
        </w:tc>
        <w:tc>
          <w:tcPr>
            <w:tcW w:w="140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17150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8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其他金融业</w:t>
            </w:r>
          </w:p>
        </w:tc>
        <w:tc>
          <w:tcPr>
            <w:tcW w:w="1408"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6</w:t>
            </w:r>
          </w:p>
        </w:tc>
        <w:tc>
          <w:tcPr>
            <w:tcW w:w="1408"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5000" w:type="pct"/>
            <w:gridSpan w:val="3"/>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left"/>
              <w:textAlignment w:val="auto"/>
              <w:rPr>
                <w:rFonts w:hint="eastAsia" w:ascii="Times New Roman" w:hAnsi="Times New Roman" w:eastAsia="仿宋_GB2312" w:cs="仿宋_GB2312"/>
                <w:color w:val="000000"/>
                <w:sz w:val="24"/>
                <w:szCs w:val="24"/>
                <w:highlight w:val="none"/>
              </w:rPr>
            </w:pPr>
            <w:r>
              <w:rPr>
                <w:rFonts w:hint="eastAsia" w:ascii="Times New Roman" w:hAnsi="Times New Roman" w:eastAsia="楷体" w:cs="楷体"/>
                <w:color w:val="000000"/>
                <w:kern w:val="0"/>
                <w:sz w:val="21"/>
                <w:szCs w:val="21"/>
                <w:highlight w:val="none"/>
                <w:lang w:bidi="ar"/>
              </w:rPr>
              <w:t>注：金融业企业法人单位包括中国人民银行、金融监管总局、中国证监会负责普查的单位和各级经济普查机构负责普查的单位。</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lang w:val="en-US" w:eastAsia="zh-CN"/>
        </w:rPr>
      </w:pPr>
      <w:r>
        <w:rPr>
          <w:rFonts w:hint="eastAsia" w:ascii="仿宋" w:hAnsi="仿宋" w:eastAsia="仿宋" w:cs="仿宋"/>
          <w:color w:val="000000"/>
          <w:spacing w:val="-6"/>
          <w:kern w:val="2"/>
          <w:sz w:val="32"/>
          <w:szCs w:val="32"/>
          <w:u w:val="none"/>
          <w:lang w:val="en-US" w:eastAsia="zh-CN" w:bidi="ar-SA"/>
        </w:rPr>
        <w:t>2023年末，金融业企业法人单位资产总计5655.14亿元，全年实现营业收入251.15亿元（详见表4-13）。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2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8"/>
          <w:szCs w:val="28"/>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表4-13　按行业大类分组的金融业企业法人单位主要经济指标</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52"/>
        <w:gridCol w:w="2552"/>
        <w:gridCol w:w="250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94" w:hRule="atLeast"/>
          <w:jc w:val="center"/>
        </w:trPr>
        <w:tc>
          <w:tcPr>
            <w:tcW w:w="0" w:type="auto"/>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0" w:type="auto"/>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0" w:type="auto"/>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0" w:type="auto"/>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0" w:type="auto"/>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00000"/>
                <w:kern w:val="2"/>
                <w:sz w:val="21"/>
                <w:szCs w:val="21"/>
                <w:highlight w:val="none"/>
                <w:lang w:val="en-US" w:eastAsia="zh-CN" w:bidi="ar-SA"/>
              </w:rPr>
            </w:pPr>
            <w:r>
              <w:rPr>
                <w:rFonts w:hint="eastAsia" w:cs="宋体"/>
                <w:b/>
                <w:bCs/>
                <w:color w:val="000000"/>
                <w:kern w:val="2"/>
                <w:sz w:val="21"/>
                <w:szCs w:val="21"/>
                <w:highlight w:val="none"/>
                <w:lang w:val="en-US" w:eastAsia="zh-CN" w:bidi="ar-SA"/>
              </w:rPr>
              <w:t>5655.14</w:t>
            </w:r>
          </w:p>
        </w:tc>
        <w:tc>
          <w:tcPr>
            <w:tcW w:w="0" w:type="auto"/>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default" w:ascii="Times New Roman" w:hAnsi="Times New Roman" w:eastAsia="宋体" w:cs="宋体"/>
                <w:b/>
                <w:bCs/>
                <w:color w:val="000000"/>
                <w:kern w:val="2"/>
                <w:sz w:val="21"/>
                <w:szCs w:val="21"/>
                <w:highlight w:val="none"/>
                <w:lang w:val="en-US" w:eastAsia="zh-CN" w:bidi="ar-SA"/>
              </w:rPr>
              <w:t>25</w:t>
            </w:r>
            <w:r>
              <w:rPr>
                <w:rFonts w:hint="eastAsia" w:cs="宋体"/>
                <w:b/>
                <w:bCs/>
                <w:color w:val="000000"/>
                <w:kern w:val="2"/>
                <w:sz w:val="21"/>
                <w:szCs w:val="21"/>
                <w:highlight w:val="none"/>
                <w:lang w:val="en-US" w:eastAsia="zh-CN" w:bidi="ar-SA"/>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0" w:type="auto"/>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货币金融服务</w:t>
            </w:r>
          </w:p>
        </w:tc>
        <w:tc>
          <w:tcPr>
            <w:tcW w:w="0" w:type="auto"/>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5266.38</w:t>
            </w:r>
          </w:p>
        </w:tc>
        <w:tc>
          <w:tcPr>
            <w:tcW w:w="0" w:type="auto"/>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cs="宋体"/>
                <w:color w:val="000000"/>
                <w:kern w:val="2"/>
                <w:sz w:val="21"/>
                <w:szCs w:val="21"/>
                <w:highlight w:val="none"/>
                <w:lang w:val="en-US" w:eastAsia="zh-CN" w:bidi="ar-SA"/>
              </w:rPr>
              <w:t>123.06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0" w:type="auto"/>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资本市场服务</w:t>
            </w:r>
          </w:p>
        </w:tc>
        <w:tc>
          <w:tcPr>
            <w:tcW w:w="0" w:type="auto"/>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0.</w:t>
            </w:r>
            <w:r>
              <w:rPr>
                <w:rFonts w:hint="default" w:ascii="Times New Roman" w:hAnsi="Times New Roman" w:eastAsia="宋体" w:cs="宋体"/>
                <w:color w:val="000000"/>
                <w:kern w:val="2"/>
                <w:sz w:val="21"/>
                <w:szCs w:val="21"/>
                <w:highlight w:val="none"/>
                <w:lang w:val="en-US" w:eastAsia="zh-CN" w:bidi="ar-SA"/>
              </w:rPr>
              <w:t>28</w:t>
            </w:r>
          </w:p>
        </w:tc>
        <w:tc>
          <w:tcPr>
            <w:tcW w:w="0" w:type="auto"/>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0.0</w:t>
            </w:r>
            <w:r>
              <w:rPr>
                <w:rFonts w:hint="default" w:ascii="Times New Roman" w:hAnsi="Times New Roman" w:eastAsia="宋体" w:cs="宋体"/>
                <w:color w:val="000000"/>
                <w:kern w:val="2"/>
                <w:sz w:val="21"/>
                <w:szCs w:val="21"/>
                <w:highlight w:val="none"/>
                <w:lang w:val="en-US" w:eastAsia="zh-CN" w:bidi="ar-SA"/>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0" w:type="auto"/>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保险业</w:t>
            </w:r>
          </w:p>
        </w:tc>
        <w:tc>
          <w:tcPr>
            <w:tcW w:w="0" w:type="auto"/>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362.58</w:t>
            </w:r>
          </w:p>
        </w:tc>
        <w:tc>
          <w:tcPr>
            <w:tcW w:w="0" w:type="auto"/>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default" w:ascii="Times New Roman" w:hAnsi="Times New Roman" w:eastAsia="宋体" w:cs="宋体"/>
                <w:color w:val="000000"/>
                <w:kern w:val="2"/>
                <w:sz w:val="21"/>
                <w:szCs w:val="21"/>
                <w:highlight w:val="none"/>
                <w:lang w:val="en-US" w:eastAsia="zh-CN" w:bidi="ar-SA"/>
              </w:rPr>
              <w:t>124</w:t>
            </w:r>
            <w:r>
              <w:rPr>
                <w:rFonts w:hint="eastAsia" w:ascii="Times New Roman" w:hAnsi="Times New Roman" w:eastAsia="宋体" w:cs="宋体"/>
                <w:color w:val="000000"/>
                <w:kern w:val="2"/>
                <w:sz w:val="21"/>
                <w:szCs w:val="21"/>
                <w:highlight w:val="none"/>
                <w:lang w:val="en-US" w:eastAsia="zh-CN" w:bidi="ar-SA"/>
              </w:rPr>
              <w:t>.</w:t>
            </w:r>
            <w:r>
              <w:rPr>
                <w:rFonts w:hint="eastAsia" w:cs="宋体"/>
                <w:color w:val="000000"/>
                <w:kern w:val="2"/>
                <w:sz w:val="21"/>
                <w:szCs w:val="21"/>
                <w:highlight w:val="none"/>
                <w:lang w:val="en-US" w:eastAsia="zh-CN" w:bidi="ar-SA"/>
              </w:rPr>
              <w:t>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305" w:hRule="atLeast"/>
          <w:jc w:val="center"/>
        </w:trPr>
        <w:tc>
          <w:tcPr>
            <w:tcW w:w="0" w:type="auto"/>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其他金融业</w:t>
            </w:r>
          </w:p>
        </w:tc>
        <w:tc>
          <w:tcPr>
            <w:tcW w:w="0" w:type="auto"/>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default" w:ascii="Times New Roman" w:hAnsi="Times New Roman" w:eastAsia="宋体" w:cs="宋体"/>
                <w:color w:val="000000"/>
                <w:kern w:val="2"/>
                <w:sz w:val="21"/>
                <w:szCs w:val="21"/>
                <w:highlight w:val="none"/>
                <w:lang w:val="en-US" w:eastAsia="zh-CN" w:bidi="ar-SA"/>
              </w:rPr>
              <w:t>25</w:t>
            </w:r>
            <w:r>
              <w:rPr>
                <w:rFonts w:hint="default" w:ascii="Times New Roman" w:hAnsi="Times New Roman" w:eastAsia="宋体" w:cs="宋体"/>
                <w:color w:val="000000"/>
                <w:kern w:val="2"/>
                <w:sz w:val="21"/>
                <w:szCs w:val="21"/>
                <w:highlight w:val="none"/>
                <w:lang w:val="en" w:eastAsia="zh-CN" w:bidi="ar-SA"/>
              </w:rPr>
              <w:t>.</w:t>
            </w:r>
            <w:r>
              <w:rPr>
                <w:rFonts w:hint="default" w:ascii="Times New Roman" w:hAnsi="Times New Roman" w:eastAsia="宋体" w:cs="宋体"/>
                <w:color w:val="000000"/>
                <w:kern w:val="2"/>
                <w:sz w:val="21"/>
                <w:szCs w:val="21"/>
                <w:highlight w:val="none"/>
                <w:lang w:val="en-US" w:eastAsia="zh-CN" w:bidi="ar-SA"/>
              </w:rPr>
              <w:t>9</w:t>
            </w:r>
            <w:r>
              <w:rPr>
                <w:rFonts w:hint="eastAsia" w:cs="宋体"/>
                <w:color w:val="000000"/>
                <w:kern w:val="2"/>
                <w:sz w:val="21"/>
                <w:szCs w:val="21"/>
                <w:highlight w:val="none"/>
                <w:lang w:val="en-US" w:eastAsia="zh-CN" w:bidi="ar-SA"/>
              </w:rPr>
              <w:t>0</w:t>
            </w:r>
          </w:p>
        </w:tc>
        <w:tc>
          <w:tcPr>
            <w:tcW w:w="0" w:type="auto"/>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US" w:eastAsia="zh-CN" w:bidi="ar-SA"/>
              </w:rPr>
              <w:t>3</w:t>
            </w:r>
            <w:r>
              <w:rPr>
                <w:rFonts w:hint="default" w:ascii="Times New Roman" w:hAnsi="Times New Roman" w:eastAsia="宋体" w:cs="宋体"/>
                <w:color w:val="000000"/>
                <w:kern w:val="2"/>
                <w:sz w:val="21"/>
                <w:szCs w:val="21"/>
                <w:highlight w:val="none"/>
                <w:lang w:val="en" w:eastAsia="zh-CN" w:bidi="ar-SA"/>
              </w:rPr>
              <w:t>.</w:t>
            </w:r>
            <w:r>
              <w:rPr>
                <w:rFonts w:hint="default" w:ascii="Times New Roman" w:hAnsi="Times New Roman" w:eastAsia="宋体" w:cs="宋体"/>
                <w:color w:val="000000"/>
                <w:kern w:val="2"/>
                <w:sz w:val="21"/>
                <w:szCs w:val="21"/>
                <w:highlight w:val="none"/>
                <w:lang w:val="en-US" w:eastAsia="zh-CN" w:bidi="ar-SA"/>
              </w:rPr>
              <w:t>3</w:t>
            </w:r>
            <w:r>
              <w:rPr>
                <w:rFonts w:hint="default" w:ascii="Times New Roman" w:hAnsi="Times New Roman" w:eastAsia="宋体" w:cs="宋体"/>
                <w:color w:val="000000"/>
                <w:kern w:val="2"/>
                <w:sz w:val="21"/>
                <w:szCs w:val="21"/>
                <w:highlight w:val="none"/>
                <w:lang w:val="en"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0" w:type="auto"/>
            <w:gridSpan w:val="3"/>
            <w:tcBorders>
              <w:top w:val="single" w:color="auto" w:sz="12" w:space="0"/>
              <w:left w:val="nil"/>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left"/>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楷体" w:cs="楷体"/>
                <w:color w:val="000000"/>
                <w:kern w:val="0"/>
                <w:sz w:val="21"/>
                <w:szCs w:val="21"/>
                <w:highlight w:val="none"/>
                <w:lang w:val="en-US" w:eastAsia="zh-CN" w:bidi="ar"/>
              </w:rPr>
              <w:t>注：</w:t>
            </w:r>
            <w:r>
              <w:rPr>
                <w:rFonts w:hint="eastAsia" w:ascii="Times New Roman" w:hAnsi="Times New Roman" w:eastAsia="楷体" w:cs="楷体"/>
                <w:color w:val="000000"/>
                <w:kern w:val="0"/>
                <w:sz w:val="21"/>
                <w:szCs w:val="21"/>
                <w:highlight w:val="none"/>
                <w:lang w:bidi="ar"/>
              </w:rPr>
              <w:t>金融业企业法人单位包括中国人民银行、金融监管总局、中国证监会负责普查的单位和各级经济普查机构负责普查的单位。</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六、房地产业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2023年末，全市共有房地产业企业法人单位3367个，比2018年末增长40.0%。其中，房地产开发经营企业1033个，物业管理企业1370个，房地产中介服务企业757个，分别比2018年末增长22.2%、68.1%和46.1%。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2023年末，全市房地产业企业法人单位从业人员</w:t>
      </w:r>
      <w:r>
        <w:rPr>
          <w:rFonts w:hint="eastAsia" w:ascii="仿宋" w:hAnsi="仿宋" w:eastAsia="仿宋" w:cs="仿宋"/>
          <w:color w:val="000000"/>
          <w:spacing w:val="-6"/>
          <w:kern w:val="2"/>
          <w:sz w:val="32"/>
          <w:szCs w:val="32"/>
          <w:u w:val="none"/>
          <w:lang w:val="en" w:eastAsia="zh-CN" w:bidi="ar-SA"/>
        </w:rPr>
        <w:t>35960</w:t>
      </w:r>
      <w:r>
        <w:rPr>
          <w:rFonts w:hint="eastAsia" w:ascii="仿宋" w:hAnsi="仿宋" w:eastAsia="仿宋" w:cs="仿宋"/>
          <w:color w:val="000000"/>
          <w:spacing w:val="-6"/>
          <w:kern w:val="2"/>
          <w:sz w:val="32"/>
          <w:szCs w:val="32"/>
          <w:u w:val="none"/>
          <w:lang w:val="en-US" w:eastAsia="zh-CN" w:bidi="ar-SA"/>
        </w:rPr>
        <w:t>人，比2018年末增长</w:t>
      </w:r>
      <w:r>
        <w:rPr>
          <w:rFonts w:hint="eastAsia" w:ascii="仿宋" w:hAnsi="仿宋" w:eastAsia="仿宋" w:cs="仿宋"/>
          <w:color w:val="000000"/>
          <w:spacing w:val="-6"/>
          <w:kern w:val="2"/>
          <w:sz w:val="32"/>
          <w:szCs w:val="32"/>
          <w:u w:val="none"/>
          <w:lang w:val="en" w:eastAsia="zh-CN" w:bidi="ar-SA"/>
        </w:rPr>
        <w:t>23.6</w:t>
      </w:r>
      <w:r>
        <w:rPr>
          <w:rFonts w:hint="eastAsia" w:ascii="仿宋" w:hAnsi="仿宋" w:eastAsia="仿宋" w:cs="仿宋"/>
          <w:color w:val="000000"/>
          <w:spacing w:val="-6"/>
          <w:kern w:val="2"/>
          <w:sz w:val="32"/>
          <w:szCs w:val="32"/>
          <w:u w:val="none"/>
          <w:lang w:val="en-US" w:eastAsia="zh-CN" w:bidi="ar-SA"/>
        </w:rPr>
        <w:t>%。其中，房地产开发经营企业11793人，比2018年末下降23.9%；物业管理企业</w:t>
      </w:r>
      <w:r>
        <w:rPr>
          <w:rFonts w:hint="eastAsia" w:ascii="仿宋" w:hAnsi="仿宋" w:eastAsia="仿宋" w:cs="仿宋"/>
          <w:color w:val="000000"/>
          <w:spacing w:val="-6"/>
          <w:kern w:val="2"/>
          <w:sz w:val="32"/>
          <w:szCs w:val="32"/>
          <w:u w:val="none"/>
          <w:lang w:val="en" w:eastAsia="zh-CN" w:bidi="ar-SA"/>
        </w:rPr>
        <w:t>16614</w:t>
      </w:r>
      <w:r>
        <w:rPr>
          <w:rFonts w:hint="eastAsia" w:ascii="仿宋" w:hAnsi="仿宋" w:eastAsia="仿宋" w:cs="仿宋"/>
          <w:color w:val="000000"/>
          <w:spacing w:val="-6"/>
          <w:kern w:val="2"/>
          <w:sz w:val="32"/>
          <w:szCs w:val="32"/>
          <w:u w:val="none"/>
          <w:lang w:val="en-US" w:eastAsia="zh-CN" w:bidi="ar-SA"/>
        </w:rPr>
        <w:t>人，房地产中介服务企业5883人，分别比2018年末增长</w:t>
      </w:r>
      <w:r>
        <w:rPr>
          <w:rFonts w:hint="eastAsia" w:ascii="仿宋" w:hAnsi="仿宋" w:eastAsia="仿宋" w:cs="仿宋"/>
          <w:color w:val="000000"/>
          <w:spacing w:val="-6"/>
          <w:kern w:val="2"/>
          <w:sz w:val="32"/>
          <w:szCs w:val="32"/>
          <w:u w:val="none"/>
          <w:lang w:val="en" w:eastAsia="zh-CN" w:bidi="ar-SA"/>
        </w:rPr>
        <w:t>107.9</w:t>
      </w:r>
      <w:r>
        <w:rPr>
          <w:rFonts w:hint="eastAsia" w:ascii="仿宋" w:hAnsi="仿宋" w:eastAsia="仿宋" w:cs="仿宋"/>
          <w:color w:val="000000"/>
          <w:spacing w:val="-6"/>
          <w:kern w:val="2"/>
          <w:sz w:val="32"/>
          <w:szCs w:val="32"/>
          <w:u w:val="none"/>
          <w:lang w:val="en-US" w:eastAsia="zh-CN" w:bidi="ar-SA"/>
        </w:rPr>
        <w:t>%和81.6%（详见表4-14）。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表4-14　按行业中类分组的房地产业企业法人单位数和从业人员</w:t>
      </w:r>
    </w:p>
    <w:tbl>
      <w:tblPr>
        <w:tblStyle w:val="22"/>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57"/>
        <w:gridCol w:w="2685"/>
        <w:gridCol w:w="256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4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161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54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61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3367</w:t>
            </w:r>
          </w:p>
        </w:tc>
        <w:tc>
          <w:tcPr>
            <w:tcW w:w="269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00000"/>
                <w:kern w:val="0"/>
                <w:sz w:val="21"/>
                <w:szCs w:val="21"/>
                <w:highlight w:val="none"/>
                <w:u w:val="none"/>
                <w:lang w:val="en" w:eastAsia="zh-CN" w:bidi="ar"/>
              </w:rPr>
            </w:pPr>
            <w:r>
              <w:rPr>
                <w:rFonts w:hint="default" w:ascii="Times New Roman" w:hAnsi="Times New Roman" w:eastAsia="宋体" w:cs="宋体"/>
                <w:b/>
                <w:bCs w:val="0"/>
                <w:i w:val="0"/>
                <w:color w:val="000000"/>
                <w:kern w:val="0"/>
                <w:sz w:val="21"/>
                <w:szCs w:val="21"/>
                <w:highlight w:val="none"/>
                <w:u w:val="none"/>
                <w:lang w:val="en" w:eastAsia="zh-CN" w:bidi="ar"/>
              </w:rPr>
              <w:t>35960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房地产开发经营</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1033</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11793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物业管理</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1370</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16614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房地产中介服务</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757</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5883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房地产租赁经营</w:t>
            </w:r>
          </w:p>
        </w:tc>
        <w:tc>
          <w:tcPr>
            <w:tcW w:w="161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184</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1491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其他房地产业</w:t>
            </w:r>
          </w:p>
        </w:tc>
        <w:tc>
          <w:tcPr>
            <w:tcW w:w="161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23</w:t>
            </w:r>
          </w:p>
        </w:tc>
        <w:tc>
          <w:tcPr>
            <w:tcW w:w="269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179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在房地产业企业法人单位中，内资企业占99.</w:t>
      </w:r>
      <w:r>
        <w:rPr>
          <w:rFonts w:hint="eastAsia" w:ascii="仿宋" w:hAnsi="仿宋" w:eastAsia="仿宋" w:cs="仿宋"/>
          <w:color w:val="000000"/>
          <w:spacing w:val="-6"/>
          <w:kern w:val="2"/>
          <w:sz w:val="32"/>
          <w:szCs w:val="32"/>
          <w:u w:val="none"/>
          <w:lang w:val="en" w:eastAsia="zh-CN" w:bidi="ar-SA"/>
        </w:rPr>
        <w:t>6</w:t>
      </w:r>
      <w:r>
        <w:rPr>
          <w:rFonts w:hint="eastAsia" w:ascii="仿宋" w:hAnsi="仿宋" w:eastAsia="仿宋" w:cs="仿宋"/>
          <w:color w:val="000000"/>
          <w:spacing w:val="-6"/>
          <w:kern w:val="2"/>
          <w:sz w:val="32"/>
          <w:szCs w:val="32"/>
          <w:u w:val="none"/>
          <w:lang w:val="en-US" w:eastAsia="zh-CN" w:bidi="ar-SA"/>
        </w:rPr>
        <w:t>%，港澳台投资企业和外商投资企业占0.4%。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在房地产业企业法人单位从业人员中，内资企业占</w:t>
      </w:r>
      <w:r>
        <w:rPr>
          <w:rFonts w:hint="eastAsia" w:ascii="仿宋" w:hAnsi="仿宋" w:eastAsia="仿宋" w:cs="仿宋"/>
          <w:color w:val="000000"/>
          <w:spacing w:val="-6"/>
          <w:kern w:val="2"/>
          <w:sz w:val="32"/>
          <w:szCs w:val="32"/>
          <w:u w:val="none"/>
          <w:lang w:val="en" w:eastAsia="zh-CN" w:bidi="ar-SA"/>
        </w:rPr>
        <w:t>99.3</w:t>
      </w:r>
      <w:r>
        <w:rPr>
          <w:rFonts w:hint="eastAsia" w:ascii="仿宋" w:hAnsi="仿宋" w:eastAsia="仿宋" w:cs="仿宋"/>
          <w:color w:val="000000"/>
          <w:spacing w:val="-6"/>
          <w:kern w:val="2"/>
          <w:sz w:val="32"/>
          <w:szCs w:val="32"/>
          <w:u w:val="none"/>
          <w:lang w:val="en-US" w:eastAsia="zh-CN" w:bidi="ar-SA"/>
        </w:rPr>
        <w:t>%，港澳台投资企业和外商投资企业占</w:t>
      </w:r>
      <w:r>
        <w:rPr>
          <w:rFonts w:hint="eastAsia" w:ascii="仿宋" w:hAnsi="仿宋" w:eastAsia="仿宋" w:cs="仿宋"/>
          <w:color w:val="000000"/>
          <w:spacing w:val="-6"/>
          <w:kern w:val="2"/>
          <w:sz w:val="32"/>
          <w:szCs w:val="32"/>
          <w:u w:val="none"/>
          <w:lang w:val="en" w:eastAsia="zh-CN" w:bidi="ar-SA"/>
        </w:rPr>
        <w:t>0.7</w:t>
      </w:r>
      <w:r>
        <w:rPr>
          <w:rFonts w:hint="eastAsia" w:ascii="仿宋" w:hAnsi="仿宋" w:eastAsia="仿宋" w:cs="仿宋"/>
          <w:color w:val="000000"/>
          <w:spacing w:val="-6"/>
          <w:kern w:val="2"/>
          <w:sz w:val="32"/>
          <w:szCs w:val="32"/>
          <w:u w:val="none"/>
          <w:lang w:val="en-US" w:eastAsia="zh-CN" w:bidi="ar-SA"/>
        </w:rPr>
        <w:t>%（详见表4-15）。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表4-15　按登记注册统计类别分组的房地产业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企业法人单位数和从业人员</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2323"/>
        <w:gridCol w:w="23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p>
        </w:tc>
        <w:tc>
          <w:tcPr>
            <w:tcW w:w="139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39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39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00000"/>
                <w:kern w:val="0"/>
                <w:sz w:val="21"/>
                <w:szCs w:val="21"/>
                <w:highlight w:val="none"/>
                <w:u w:val="none"/>
                <w:lang w:val="en" w:eastAsia="zh-CN" w:bidi="ar"/>
              </w:rPr>
            </w:pPr>
            <w:r>
              <w:rPr>
                <w:rFonts w:hint="default" w:ascii="Times New Roman" w:hAnsi="Times New Roman" w:eastAsia="宋体" w:cs="宋体"/>
                <w:b/>
                <w:bCs w:val="0"/>
                <w:i w:val="0"/>
                <w:color w:val="000000"/>
                <w:kern w:val="0"/>
                <w:sz w:val="21"/>
                <w:szCs w:val="21"/>
                <w:highlight w:val="none"/>
                <w:u w:val="none"/>
                <w:lang w:val="en" w:eastAsia="zh-CN" w:bidi="ar"/>
              </w:rPr>
              <w:t>3367</w:t>
            </w:r>
          </w:p>
        </w:tc>
        <w:tc>
          <w:tcPr>
            <w:tcW w:w="1399"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00000"/>
                <w:kern w:val="0"/>
                <w:sz w:val="21"/>
                <w:szCs w:val="21"/>
                <w:highlight w:val="none"/>
                <w:u w:val="none"/>
                <w:lang w:val="en" w:eastAsia="zh-CN" w:bidi="ar"/>
              </w:rPr>
            </w:pPr>
            <w:r>
              <w:rPr>
                <w:rFonts w:hint="default" w:ascii="Times New Roman" w:hAnsi="Times New Roman" w:eastAsia="宋体" w:cs="宋体"/>
                <w:b/>
                <w:bCs w:val="0"/>
                <w:i w:val="0"/>
                <w:color w:val="000000"/>
                <w:kern w:val="0"/>
                <w:sz w:val="21"/>
                <w:szCs w:val="21"/>
                <w:highlight w:val="none"/>
                <w:u w:val="none"/>
                <w:lang w:val="en" w:eastAsia="zh-CN" w:bidi="ar"/>
              </w:rPr>
              <w:t>35960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39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3355</w:t>
            </w:r>
          </w:p>
        </w:tc>
        <w:tc>
          <w:tcPr>
            <w:tcW w:w="1399"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35711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 w:eastAsia="zh-CN" w:bidi="ar"/>
              </w:rPr>
              <w:t>港澳台</w:t>
            </w:r>
            <w:r>
              <w:rPr>
                <w:rFonts w:hint="eastAsia" w:ascii="Times New Roman" w:hAnsi="Times New Roman" w:eastAsia="宋体" w:cs="宋体"/>
                <w:b w:val="0"/>
                <w:bCs/>
                <w:color w:val="000000"/>
                <w:kern w:val="0"/>
                <w:sz w:val="21"/>
                <w:szCs w:val="21"/>
                <w:highlight w:val="none"/>
                <w:lang w:val="en-US" w:eastAsia="zh-CN" w:bidi="ar"/>
              </w:rPr>
              <w:t>投资企业</w:t>
            </w:r>
            <w:r>
              <w:rPr>
                <w:rFonts w:hint="eastAsia" w:cs="宋体"/>
                <w:b w:val="0"/>
                <w:bCs/>
                <w:color w:val="000000"/>
                <w:kern w:val="0"/>
                <w:sz w:val="21"/>
                <w:szCs w:val="21"/>
                <w:highlight w:val="none"/>
                <w:lang w:val="en-US" w:eastAsia="zh-CN" w:bidi="ar"/>
              </w:rPr>
              <w:t>和外商投资企业</w:t>
            </w:r>
          </w:p>
        </w:tc>
        <w:tc>
          <w:tcPr>
            <w:tcW w:w="139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1</w:t>
            </w:r>
            <w:r>
              <w:rPr>
                <w:rFonts w:hint="eastAsia" w:cs="宋体"/>
                <w:color w:val="000000"/>
                <w:kern w:val="2"/>
                <w:sz w:val="21"/>
                <w:szCs w:val="21"/>
                <w:highlight w:val="none"/>
                <w:lang w:val="en-US" w:eastAsia="zh-CN" w:bidi="ar-SA"/>
              </w:rPr>
              <w:t>2</w:t>
            </w:r>
          </w:p>
        </w:tc>
        <w:tc>
          <w:tcPr>
            <w:tcW w:w="1399"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249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2023年末，全市房地产业企业法人单位资产总计2442.31亿元，比2018年末增长83.9%。其中，房地产开发经营企业2350.51亿元，物业管理企业31.63亿元，房地产中介服务企业15.70亿元，分别比2018年末增长83.8%、118.9%和109.</w:t>
      </w:r>
      <w:r>
        <w:rPr>
          <w:rFonts w:hint="eastAsia" w:ascii="仿宋" w:hAnsi="仿宋" w:eastAsia="仿宋" w:cs="仿宋"/>
          <w:color w:val="000000"/>
          <w:spacing w:val="-6"/>
          <w:kern w:val="2"/>
          <w:sz w:val="32"/>
          <w:szCs w:val="32"/>
          <w:u w:val="none"/>
          <w:lang w:val="en" w:eastAsia="zh-CN" w:bidi="ar-SA"/>
        </w:rPr>
        <w:t>9</w:t>
      </w:r>
      <w:r>
        <w:rPr>
          <w:rFonts w:hint="eastAsia" w:ascii="仿宋" w:hAnsi="仿宋" w:eastAsia="仿宋" w:cs="仿宋"/>
          <w:color w:val="000000"/>
          <w:spacing w:val="-6"/>
          <w:kern w:val="2"/>
          <w:sz w:val="32"/>
          <w:szCs w:val="32"/>
          <w:u w:val="none"/>
          <w:lang w:val="en-US" w:eastAsia="zh-CN" w:bidi="ar-SA"/>
        </w:rPr>
        <w:t>%。房地产业企业法人单位负债合计2063.53亿元，比2018年末增长101.4%。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2023年，房地产业企业法人单位全年实现营业收入422.07亿元，比2018年增长35.8%（详见表4-16）。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表4-16　按行业中类分组的房地产业企业法人单位主要经济指标</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5"/>
        <w:gridCol w:w="1577"/>
        <w:gridCol w:w="1577"/>
        <w:gridCol w:w="157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575"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57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77"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77"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75"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57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 xml:space="preserve">2442.31 </w:t>
            </w:r>
          </w:p>
        </w:tc>
        <w:tc>
          <w:tcPr>
            <w:tcW w:w="1577"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 xml:space="preserve">2063.52 </w:t>
            </w:r>
          </w:p>
        </w:tc>
        <w:tc>
          <w:tcPr>
            <w:tcW w:w="157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 xml:space="preserve">422.08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7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房地产开发经营</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2350.51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2016.2</w:t>
            </w:r>
            <w:r>
              <w:rPr>
                <w:rFonts w:hint="default" w:ascii="Times New Roman" w:hAnsi="Times New Roman" w:eastAsia="宋体" w:cs="宋体"/>
                <w:color w:val="000000"/>
                <w:kern w:val="2"/>
                <w:sz w:val="21"/>
                <w:szCs w:val="21"/>
                <w:highlight w:val="none"/>
                <w:lang w:val="en" w:eastAsia="zh-CN" w:bidi="ar-SA"/>
              </w:rPr>
              <w:t>1</w:t>
            </w:r>
            <w:r>
              <w:rPr>
                <w:rFonts w:hint="eastAsia" w:ascii="Times New Roman" w:hAnsi="Times New Roman" w:eastAsia="宋体" w:cs="宋体"/>
                <w:color w:val="000000"/>
                <w:kern w:val="2"/>
                <w:sz w:val="21"/>
                <w:szCs w:val="21"/>
                <w:highlight w:val="none"/>
                <w:lang w:val="en-US" w:eastAsia="zh-CN" w:bidi="ar-SA"/>
              </w:rPr>
              <w:t xml:space="preserve"> </w:t>
            </w:r>
          </w:p>
        </w:tc>
        <w:tc>
          <w:tcPr>
            <w:tcW w:w="157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372.2</w:t>
            </w:r>
            <w:r>
              <w:rPr>
                <w:rFonts w:hint="default" w:ascii="Times New Roman" w:hAnsi="Times New Roman" w:eastAsia="宋体" w:cs="宋体"/>
                <w:color w:val="000000"/>
                <w:kern w:val="2"/>
                <w:sz w:val="21"/>
                <w:szCs w:val="21"/>
                <w:highlight w:val="none"/>
                <w:lang w:val="en" w:eastAsia="zh-CN" w:bidi="ar-SA"/>
              </w:rPr>
              <w:t>1</w:t>
            </w:r>
            <w:r>
              <w:rPr>
                <w:rFonts w:hint="eastAsia" w:ascii="Times New Roman" w:hAnsi="Times New Roman" w:eastAsia="宋体" w:cs="宋体"/>
                <w:color w:val="000000"/>
                <w:kern w:val="2"/>
                <w:sz w:val="21"/>
                <w:szCs w:val="21"/>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7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物业管理</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31.63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13.25 </w:t>
            </w:r>
          </w:p>
        </w:tc>
        <w:tc>
          <w:tcPr>
            <w:tcW w:w="157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30.34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57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房地产中介服务</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15.70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5.20 </w:t>
            </w:r>
          </w:p>
        </w:tc>
        <w:tc>
          <w:tcPr>
            <w:tcW w:w="157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14.41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575"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房地产租赁经营</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44.03 </w:t>
            </w:r>
          </w:p>
        </w:tc>
        <w:tc>
          <w:tcPr>
            <w:tcW w:w="1577"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28.71 </w:t>
            </w:r>
          </w:p>
        </w:tc>
        <w:tc>
          <w:tcPr>
            <w:tcW w:w="157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4.72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75"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其他房地产业</w:t>
            </w:r>
          </w:p>
        </w:tc>
        <w:tc>
          <w:tcPr>
            <w:tcW w:w="1577"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0.44 </w:t>
            </w:r>
          </w:p>
        </w:tc>
        <w:tc>
          <w:tcPr>
            <w:tcW w:w="1577"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0.15 </w:t>
            </w:r>
          </w:p>
        </w:tc>
        <w:tc>
          <w:tcPr>
            <w:tcW w:w="157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 xml:space="preserve">0.40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七、租赁和商务服务业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2023年末，全市共有租赁和商务服务业企业法人单位11711个，从业人员93098人，分别比2018年末增长142.4%和120.6%。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在租赁和商务服务业企业法人单位中，租赁业占16.7%，商务服务业占83.3%。在租赁和商务服务业企业法人单位从业人员中，租赁业占16.7%，商务服务业占83.3%（详见表4-17）。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表4-17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企业法人单位数和从业人员</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48"/>
        <w:gridCol w:w="2477"/>
        <w:gridCol w:w="24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94" w:hRule="atLeast"/>
          <w:jc w:val="center"/>
        </w:trPr>
        <w:tc>
          <w:tcPr>
            <w:tcW w:w="201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00000"/>
                <w:sz w:val="21"/>
                <w:szCs w:val="21"/>
                <w:highlight w:val="none"/>
              </w:rPr>
            </w:pPr>
          </w:p>
        </w:tc>
        <w:tc>
          <w:tcPr>
            <w:tcW w:w="149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9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01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91"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11711</w:t>
            </w:r>
          </w:p>
        </w:tc>
        <w:tc>
          <w:tcPr>
            <w:tcW w:w="1492"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93098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01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租赁业</w:t>
            </w:r>
          </w:p>
        </w:tc>
        <w:tc>
          <w:tcPr>
            <w:tcW w:w="1491"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1953</w:t>
            </w:r>
          </w:p>
        </w:tc>
        <w:tc>
          <w:tcPr>
            <w:tcW w:w="1492"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15567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01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商务服务业</w:t>
            </w:r>
          </w:p>
        </w:tc>
        <w:tc>
          <w:tcPr>
            <w:tcW w:w="1491"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9758</w:t>
            </w:r>
          </w:p>
        </w:tc>
        <w:tc>
          <w:tcPr>
            <w:tcW w:w="1492" w:type="pct"/>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77531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在租赁和商务服务业企业法人单位中，内资企业占99.6%，港澳台投资企业占0.04%，外商投资企业和其他统计类别占0.36%。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在租赁和商务服务业企业法人单位从业人员中，内资企业占99.8%，港澳台投资企业占0.02%，外商投资企业和其他统计类别占0.18%（详见表4-18）。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表4-18　按登记注册统计类别分组的租赁和商务服务业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54"/>
        <w:gridCol w:w="2472"/>
        <w:gridCol w:w="247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02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Times New Roman" w:hAnsi="Times New Roman" w:eastAsia="宋体" w:cs="宋体"/>
                <w:color w:val="000000"/>
                <w:sz w:val="21"/>
                <w:szCs w:val="21"/>
                <w:highlight w:val="none"/>
              </w:rPr>
            </w:pPr>
          </w:p>
        </w:tc>
        <w:tc>
          <w:tcPr>
            <w:tcW w:w="148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48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489" w:type="pct"/>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11711</w:t>
            </w:r>
          </w:p>
        </w:tc>
        <w:tc>
          <w:tcPr>
            <w:tcW w:w="1489" w:type="pct"/>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93098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489"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11669</w:t>
            </w:r>
          </w:p>
        </w:tc>
        <w:tc>
          <w:tcPr>
            <w:tcW w:w="1489"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92940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02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 w:eastAsia="zh-CN" w:bidi="ar"/>
              </w:rPr>
              <w:t>港澳台</w:t>
            </w:r>
            <w:r>
              <w:rPr>
                <w:rFonts w:hint="eastAsia" w:ascii="Times New Roman" w:hAnsi="Times New Roman" w:eastAsia="宋体" w:cs="宋体"/>
                <w:b w:val="0"/>
                <w:bCs/>
                <w:color w:val="000000"/>
                <w:kern w:val="0"/>
                <w:sz w:val="21"/>
                <w:szCs w:val="21"/>
                <w:highlight w:val="none"/>
                <w:lang w:val="en-US" w:eastAsia="zh-CN" w:bidi="ar"/>
              </w:rPr>
              <w:t>投资企业</w:t>
            </w:r>
          </w:p>
        </w:tc>
        <w:tc>
          <w:tcPr>
            <w:tcW w:w="1489" w:type="pct"/>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w:t>
            </w:r>
          </w:p>
        </w:tc>
        <w:tc>
          <w:tcPr>
            <w:tcW w:w="1489" w:type="pct"/>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rightChars="0"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外商投资企业和其他统计类别</w:t>
            </w:r>
          </w:p>
        </w:tc>
        <w:tc>
          <w:tcPr>
            <w:tcW w:w="1489" w:type="pct"/>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37</w:t>
            </w:r>
          </w:p>
        </w:tc>
        <w:tc>
          <w:tcPr>
            <w:tcW w:w="1489" w:type="pct"/>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140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租赁和商务服务业企业法人单位资产总计1742.05亿元，比2018年末增长471.7%。其中，租赁业企业法人单位资产总计52.91亿元，商务服务业企业法人单位资产总计1689.13亿元，分别比2018年末增长114.4%和503.2%。租赁和商务服务业企业法人单位负债合计771.60亿元，比2018年末增长475.9%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2023年，租赁和商务服务业企业法人单位全年实现营业收入236.67亿元，比2018年增长120.7%（详见表4-19）。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Lines="2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表4-19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 xml:space="preserve">  企业法人单位主要经济指标</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8"/>
        <w:gridCol w:w="1576"/>
        <w:gridCol w:w="1576"/>
        <w:gridCol w:w="157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578"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　</w:t>
            </w:r>
          </w:p>
        </w:tc>
        <w:tc>
          <w:tcPr>
            <w:tcW w:w="157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7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76"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78"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576"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1742.05</w:t>
            </w:r>
          </w:p>
        </w:tc>
        <w:tc>
          <w:tcPr>
            <w:tcW w:w="1576"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771.60</w:t>
            </w:r>
          </w:p>
        </w:tc>
        <w:tc>
          <w:tcPr>
            <w:tcW w:w="1576" w:type="dxa"/>
            <w:tcBorders>
              <w:top w:val="single" w:color="auto" w:sz="4" w:space="0"/>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bCs/>
                <w:color w:val="000000"/>
                <w:kern w:val="2"/>
                <w:sz w:val="21"/>
                <w:szCs w:val="21"/>
                <w:highlight w:val="none"/>
                <w:lang w:val="en" w:eastAsia="zh-CN" w:bidi="ar-SA"/>
              </w:rPr>
            </w:pPr>
            <w:r>
              <w:rPr>
                <w:rFonts w:hint="eastAsia" w:ascii="Times New Roman" w:hAnsi="Times New Roman" w:eastAsia="宋体" w:cs="宋体"/>
                <w:b/>
                <w:bCs/>
                <w:color w:val="000000"/>
                <w:kern w:val="2"/>
                <w:sz w:val="21"/>
                <w:szCs w:val="21"/>
                <w:highlight w:val="none"/>
                <w:lang w:val="en-US" w:eastAsia="zh-CN" w:bidi="ar-SA"/>
              </w:rPr>
              <w:t>236.67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7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租赁业</w:t>
            </w:r>
          </w:p>
        </w:tc>
        <w:tc>
          <w:tcPr>
            <w:tcW w:w="157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52.91</w:t>
            </w:r>
          </w:p>
        </w:tc>
        <w:tc>
          <w:tcPr>
            <w:tcW w:w="1576" w:type="dxa"/>
            <w:tcBorders>
              <w:top w:val="nil"/>
              <w:left w:val="single" w:color="auto" w:sz="4" w:space="0"/>
              <w:bottom w:val="nil"/>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14.59</w:t>
            </w:r>
          </w:p>
        </w:tc>
        <w:tc>
          <w:tcPr>
            <w:tcW w:w="1576" w:type="dxa"/>
            <w:tcBorders>
              <w:top w:val="nil"/>
              <w:left w:val="single" w:color="auto" w:sz="4" w:space="0"/>
              <w:bottom w:val="nil"/>
              <w:right w:val="nil"/>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42.01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78"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商务服务业</w:t>
            </w:r>
          </w:p>
        </w:tc>
        <w:tc>
          <w:tcPr>
            <w:tcW w:w="1576"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1689.14</w:t>
            </w:r>
          </w:p>
        </w:tc>
        <w:tc>
          <w:tcPr>
            <w:tcW w:w="1576" w:type="dxa"/>
            <w:tcBorders>
              <w:top w:val="nil"/>
              <w:left w:val="single" w:color="auto" w:sz="4" w:space="0"/>
              <w:bottom w:val="single" w:color="auto" w:sz="12" w:space="0"/>
              <w:right w:val="single" w:color="auto" w:sz="4" w:space="0"/>
            </w:tcBorders>
            <w:noWrap w:val="0"/>
            <w:vAlign w:val="center"/>
          </w:tcPr>
          <w:p>
            <w:pPr>
              <w:keepNext w:val="0"/>
              <w:keepLines w:val="0"/>
              <w:widowControl/>
              <w:suppressLineNumbers w:val="0"/>
              <w:jc w:val="right"/>
              <w:textAlignment w:val="center"/>
              <w:rPr>
                <w:rFonts w:hint="eastAsia" w:ascii="Times New Roman" w:hAnsi="Times New Roman" w:eastAsia="宋体" w:cs="宋体"/>
                <w:b w:val="0"/>
                <w:bCs w:val="0"/>
                <w:color w:val="000000"/>
                <w:kern w:val="2"/>
                <w:sz w:val="21"/>
                <w:szCs w:val="21"/>
                <w:highlight w:val="none"/>
                <w:lang w:val="en" w:eastAsia="zh-CN" w:bidi="ar-SA"/>
              </w:rPr>
            </w:pPr>
            <w:r>
              <w:rPr>
                <w:rFonts w:hint="eastAsia" w:ascii="Times New Roman" w:hAnsi="Times New Roman" w:eastAsia="宋体" w:cs="宋体"/>
                <w:b w:val="0"/>
                <w:bCs w:val="0"/>
                <w:color w:val="000000"/>
                <w:kern w:val="2"/>
                <w:sz w:val="21"/>
                <w:szCs w:val="21"/>
                <w:highlight w:val="none"/>
                <w:lang w:val="en-US" w:eastAsia="zh-CN" w:bidi="ar-SA"/>
              </w:rPr>
              <w:t>757.01</w:t>
            </w:r>
          </w:p>
        </w:tc>
        <w:tc>
          <w:tcPr>
            <w:tcW w:w="1576" w:type="dxa"/>
            <w:tcBorders>
              <w:top w:val="nil"/>
              <w:left w:val="single" w:color="auto" w:sz="4" w:space="0"/>
              <w:bottom w:val="single" w:color="auto" w:sz="12" w:space="0"/>
              <w:right w:val="nil"/>
            </w:tcBorders>
            <w:noWrap w:val="0"/>
            <w:vAlign w:val="center"/>
          </w:tcPr>
          <w:p>
            <w:pPr>
              <w:keepNext w:val="0"/>
              <w:keepLines w:val="0"/>
              <w:widowControl/>
              <w:suppressLineNumbers w:val="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194.66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_GBK" w:cs="仿宋_GB2312"/>
          <w:i w:val="0"/>
          <w:caps w:val="0"/>
          <w:color w:val="000000"/>
          <w:spacing w:val="0"/>
          <w:sz w:val="28"/>
          <w:szCs w:val="28"/>
          <w:highlight w:val="none"/>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仿宋" w:hAnsi="仿宋" w:eastAsia="仿宋" w:cs="仿宋"/>
          <w:i w:val="0"/>
          <w:caps w:val="0"/>
          <w:color w:val="000000"/>
          <w:spacing w:val="0"/>
          <w:sz w:val="28"/>
          <w:szCs w:val="28"/>
          <w:highlight w:val="none"/>
        </w:rPr>
      </w:pPr>
      <w:r>
        <w:rPr>
          <w:rFonts w:hint="eastAsia" w:ascii="楷体" w:hAnsi="楷体" w:eastAsia="楷体" w:cs="楷体"/>
          <w:i w:val="0"/>
          <w:caps w:val="0"/>
          <w:color w:val="000000"/>
          <w:spacing w:val="0"/>
          <w:kern w:val="0"/>
          <w:sz w:val="28"/>
          <w:szCs w:val="28"/>
          <w:highlight w:val="none"/>
          <w:lang w:val="en-US" w:eastAsia="zh-CN" w:bidi="ar"/>
        </w:rPr>
        <w:t>[2]表中的合计数和部分计算数据因小数取舍而产生的误差，均未作机械调整。为保证数据精确度，个别数据保留2位小数。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 w:hAnsi="仿宋" w:eastAsia="仿宋" w:cs="仿宋"/>
          <w:b/>
          <w:bCs/>
          <w:i w:val="0"/>
          <w:caps w:val="0"/>
          <w:color w:val="000000"/>
          <w:spacing w:val="0"/>
          <w:kern w:val="0"/>
          <w:sz w:val="28"/>
          <w:szCs w:val="28"/>
          <w:highlight w:val="none"/>
          <w:lang w:val="en-US" w:eastAsia="zh-CN" w:bidi="ar"/>
        </w:rPr>
      </w:pPr>
    </w:p>
    <w:p>
      <w:pPr>
        <w:spacing w:line="120" w:lineRule="exact"/>
        <w:rPr>
          <w:rFonts w:hint="eastAsia" w:eastAsia="宋体"/>
          <w:lang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rPr>
          <w:rFonts w:hint="eastAsia" w:ascii="Times New Roman" w:hAnsi="Times New Roman" w:cs="Times New Roman"/>
          <w:color w:val="000000"/>
          <w:kern w:val="2"/>
          <w:sz w:val="36"/>
          <w:szCs w:val="36"/>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w:t>
      </w:r>
      <w:r>
        <w:rPr>
          <w:rFonts w:hint="eastAsia" w:ascii="Times New Roman" w:hAnsi="Times New Roman" w:eastAsia="方正小标宋_GBK" w:cs="Times New Roman"/>
          <w:bCs/>
          <w:color w:val="000000"/>
          <w:kern w:val="0"/>
          <w:sz w:val="44"/>
          <w:szCs w:val="44"/>
          <w:shd w:val="clear" w:color="auto" w:fill="FFFFFF"/>
          <w:lang w:val="en-US" w:eastAsia="zh-CN" w:bidi="ar"/>
        </w:rPr>
        <w:t>第五次全国经济普查公报（第五号）</w:t>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1"/>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——第三产业基本情况之二</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00000"/>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根据新乡市第五次全国经济普查结果，现将全市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一、科学研究和技术服务业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仿宋" w:hAnsi="仿宋" w:eastAsia="仿宋" w:cs="仿宋"/>
          <w:color w:val="000000"/>
          <w:spacing w:val="-6"/>
          <w:kern w:val="2"/>
          <w:sz w:val="32"/>
          <w:szCs w:val="32"/>
          <w:u w:val="none"/>
          <w:lang w:val="en-US" w:eastAsia="zh-CN" w:bidi="ar-SA"/>
        </w:rPr>
        <w:t>2023年末，全市共有科学研究和技术服务业法人单位5083个，从业人员</w:t>
      </w:r>
      <w:r>
        <w:rPr>
          <w:rFonts w:hint="eastAsia" w:ascii="仿宋" w:hAnsi="仿宋" w:eastAsia="仿宋" w:cs="仿宋"/>
          <w:color w:val="000000"/>
          <w:spacing w:val="-6"/>
          <w:kern w:val="2"/>
          <w:sz w:val="32"/>
          <w:szCs w:val="32"/>
          <w:u w:val="none"/>
          <w:lang w:val="en" w:eastAsia="zh-CN" w:bidi="ar-SA"/>
        </w:rPr>
        <w:t>39305</w:t>
      </w:r>
      <w:r>
        <w:rPr>
          <w:rFonts w:hint="eastAsia" w:ascii="仿宋" w:hAnsi="仿宋" w:eastAsia="仿宋" w:cs="仿宋"/>
          <w:color w:val="000000"/>
          <w:spacing w:val="-6"/>
          <w:kern w:val="2"/>
          <w:sz w:val="32"/>
          <w:szCs w:val="32"/>
          <w:u w:val="none"/>
          <w:lang w:val="en-US" w:eastAsia="zh-CN" w:bidi="ar-SA"/>
        </w:rPr>
        <w:t>人，分别比2018年末增长128.2%和109.0%。其中，企业法人单位</w:t>
      </w:r>
      <w:r>
        <w:rPr>
          <w:rFonts w:hint="eastAsia" w:ascii="仿宋" w:hAnsi="仿宋" w:eastAsia="仿宋" w:cs="仿宋"/>
          <w:color w:val="000000"/>
          <w:spacing w:val="-6"/>
          <w:kern w:val="2"/>
          <w:sz w:val="32"/>
          <w:szCs w:val="32"/>
          <w:u w:val="none"/>
          <w:vertAlign w:val="superscript"/>
          <w:lang w:val="en-US" w:eastAsia="zh-CN" w:bidi="ar-SA"/>
        </w:rPr>
        <w:footnoteReference w:id="3"/>
      </w:r>
      <w:r>
        <w:rPr>
          <w:rFonts w:hint="eastAsia" w:ascii="仿宋" w:hAnsi="仿宋" w:eastAsia="仿宋" w:cs="仿宋"/>
          <w:color w:val="000000"/>
          <w:spacing w:val="-6"/>
          <w:kern w:val="2"/>
          <w:sz w:val="32"/>
          <w:szCs w:val="32"/>
          <w:u w:val="none"/>
          <w:lang w:val="en-US" w:eastAsia="zh-CN" w:bidi="ar-SA"/>
        </w:rPr>
        <w:t>4923个，从业人员</w:t>
      </w:r>
      <w:r>
        <w:rPr>
          <w:rFonts w:hint="eastAsia" w:ascii="仿宋" w:hAnsi="仿宋" w:eastAsia="仿宋" w:cs="仿宋"/>
          <w:color w:val="000000"/>
          <w:spacing w:val="-6"/>
          <w:kern w:val="2"/>
          <w:sz w:val="32"/>
          <w:szCs w:val="32"/>
          <w:u w:val="none"/>
          <w:lang w:val="en" w:eastAsia="zh-CN" w:bidi="ar-SA"/>
        </w:rPr>
        <w:t>37783</w:t>
      </w:r>
      <w:r>
        <w:rPr>
          <w:rFonts w:hint="eastAsia" w:ascii="仿宋" w:hAnsi="仿宋" w:eastAsia="仿宋" w:cs="仿宋"/>
          <w:color w:val="000000"/>
          <w:spacing w:val="-6"/>
          <w:kern w:val="2"/>
          <w:sz w:val="32"/>
          <w:szCs w:val="32"/>
          <w:u w:val="none"/>
          <w:lang w:val="en-US" w:eastAsia="zh-CN" w:bidi="ar-SA"/>
        </w:rPr>
        <w:t>人，分别比2018年末增长148.8%和127.1%（详见表5-1）。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表5-1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8"/>
          <w:szCs w:val="28"/>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886"/>
        <w:gridCol w:w="2710"/>
        <w:gridCol w:w="27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94" w:hRule="atLeast"/>
          <w:jc w:val="center"/>
        </w:trPr>
        <w:tc>
          <w:tcPr>
            <w:tcW w:w="288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00000"/>
                <w:sz w:val="21"/>
                <w:szCs w:val="21"/>
                <w:highlight w:val="none"/>
              </w:rPr>
            </w:pPr>
          </w:p>
        </w:tc>
        <w:tc>
          <w:tcPr>
            <w:tcW w:w="271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2710"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88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271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4923</w:t>
            </w:r>
          </w:p>
        </w:tc>
        <w:tc>
          <w:tcPr>
            <w:tcW w:w="271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37783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88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研究和试验发展</w:t>
            </w:r>
          </w:p>
        </w:tc>
        <w:tc>
          <w:tcPr>
            <w:tcW w:w="2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i w:val="0"/>
                <w:color w:val="000000"/>
                <w:kern w:val="0"/>
                <w:sz w:val="21"/>
                <w:szCs w:val="21"/>
                <w:highlight w:val="none"/>
                <w:u w:val="none"/>
                <w:lang w:val="en-US" w:eastAsia="zh-CN" w:bidi="ar"/>
              </w:rPr>
            </w:pPr>
            <w:r>
              <w:rPr>
                <w:rFonts w:hint="eastAsia" w:ascii="Times New Roman" w:hAnsi="Times New Roman" w:eastAsia="宋体" w:cs="宋体"/>
                <w:b w:val="0"/>
                <w:bCs w:val="0"/>
                <w:i w:val="0"/>
                <w:color w:val="000000"/>
                <w:kern w:val="0"/>
                <w:sz w:val="21"/>
                <w:szCs w:val="21"/>
                <w:highlight w:val="none"/>
                <w:u w:val="none"/>
                <w:lang w:val="en-US" w:eastAsia="zh-CN" w:bidi="ar"/>
              </w:rPr>
              <w:t>513</w:t>
            </w:r>
          </w:p>
        </w:tc>
        <w:tc>
          <w:tcPr>
            <w:tcW w:w="271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4465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88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专业技术服务业</w:t>
            </w:r>
          </w:p>
        </w:tc>
        <w:tc>
          <w:tcPr>
            <w:tcW w:w="2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i w:val="0"/>
                <w:color w:val="000000"/>
                <w:kern w:val="0"/>
                <w:sz w:val="21"/>
                <w:szCs w:val="21"/>
                <w:highlight w:val="none"/>
                <w:u w:val="none"/>
                <w:lang w:val="en-US" w:eastAsia="zh-CN" w:bidi="ar"/>
              </w:rPr>
            </w:pPr>
            <w:r>
              <w:rPr>
                <w:rFonts w:hint="eastAsia" w:ascii="Times New Roman" w:hAnsi="Times New Roman" w:eastAsia="宋体" w:cs="宋体"/>
                <w:b w:val="0"/>
                <w:bCs w:val="0"/>
                <w:i w:val="0"/>
                <w:color w:val="000000"/>
                <w:kern w:val="0"/>
                <w:sz w:val="21"/>
                <w:szCs w:val="21"/>
                <w:highlight w:val="none"/>
                <w:u w:val="none"/>
                <w:lang w:val="en-US" w:eastAsia="zh-CN" w:bidi="ar"/>
              </w:rPr>
              <w:t>1713</w:t>
            </w:r>
          </w:p>
        </w:tc>
        <w:tc>
          <w:tcPr>
            <w:tcW w:w="271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15730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88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科技推广和应用服务业</w:t>
            </w:r>
          </w:p>
        </w:tc>
        <w:tc>
          <w:tcPr>
            <w:tcW w:w="271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i w:val="0"/>
                <w:color w:val="000000"/>
                <w:kern w:val="0"/>
                <w:sz w:val="21"/>
                <w:szCs w:val="21"/>
                <w:highlight w:val="none"/>
                <w:u w:val="none"/>
                <w:lang w:val="en-US" w:eastAsia="zh-CN" w:bidi="ar"/>
              </w:rPr>
            </w:pPr>
            <w:r>
              <w:rPr>
                <w:rFonts w:hint="eastAsia" w:ascii="Times New Roman" w:hAnsi="Times New Roman" w:eastAsia="宋体" w:cs="宋体"/>
                <w:b w:val="0"/>
                <w:bCs w:val="0"/>
                <w:i w:val="0"/>
                <w:color w:val="000000"/>
                <w:kern w:val="0"/>
                <w:sz w:val="21"/>
                <w:szCs w:val="21"/>
                <w:highlight w:val="none"/>
                <w:u w:val="none"/>
                <w:lang w:val="en-US" w:eastAsia="zh-CN" w:bidi="ar"/>
              </w:rPr>
              <w:t>2697</w:t>
            </w:r>
          </w:p>
        </w:tc>
        <w:tc>
          <w:tcPr>
            <w:tcW w:w="271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17588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在科学研究和技术服务业企业法人单位中，内资企业占</w:t>
      </w:r>
      <w:r>
        <w:rPr>
          <w:rFonts w:hint="eastAsia" w:ascii="仿宋" w:hAnsi="仿宋" w:eastAsia="仿宋" w:cs="仿宋"/>
          <w:color w:val="000000"/>
          <w:spacing w:val="-6"/>
          <w:kern w:val="2"/>
          <w:sz w:val="32"/>
          <w:szCs w:val="32"/>
          <w:u w:val="none"/>
          <w:lang w:val="en" w:eastAsia="zh-CN" w:bidi="ar-SA"/>
        </w:rPr>
        <w:t>93.7</w:t>
      </w:r>
      <w:r>
        <w:rPr>
          <w:rFonts w:hint="eastAsia" w:ascii="仿宋" w:hAnsi="仿宋" w:eastAsia="仿宋" w:cs="仿宋"/>
          <w:color w:val="000000"/>
          <w:spacing w:val="-6"/>
          <w:kern w:val="2"/>
          <w:sz w:val="32"/>
          <w:szCs w:val="32"/>
          <w:u w:val="none"/>
          <w:lang w:val="en-US" w:eastAsia="zh-CN" w:bidi="ar-SA"/>
        </w:rPr>
        <w:t>%，港澳台投资企业、外商投资企业和其他统计类别占6.3%。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在科学研究和技术服务业企业法人单位从业人员中，内资企业占</w:t>
      </w:r>
      <w:r>
        <w:rPr>
          <w:rFonts w:hint="eastAsia" w:ascii="仿宋" w:hAnsi="仿宋" w:eastAsia="仿宋" w:cs="仿宋"/>
          <w:color w:val="000000"/>
          <w:spacing w:val="-6"/>
          <w:kern w:val="2"/>
          <w:sz w:val="32"/>
          <w:szCs w:val="32"/>
          <w:u w:val="none"/>
          <w:lang w:val="en" w:eastAsia="zh-CN" w:bidi="ar-SA"/>
        </w:rPr>
        <w:t>98.6</w:t>
      </w:r>
      <w:r>
        <w:rPr>
          <w:rFonts w:hint="eastAsia" w:ascii="仿宋" w:hAnsi="仿宋" w:eastAsia="仿宋" w:cs="仿宋"/>
          <w:color w:val="000000"/>
          <w:spacing w:val="-6"/>
          <w:kern w:val="2"/>
          <w:sz w:val="32"/>
          <w:szCs w:val="32"/>
          <w:u w:val="none"/>
          <w:lang w:val="en-US" w:eastAsia="zh-CN" w:bidi="ar-SA"/>
        </w:rPr>
        <w:t>%，港澳台投资企业、外商投资企业和其他统计类别占1.4%（详见表5-2）。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表5-2　按登记注册统计类别分组的科学研究和技术服务业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32"/>
        <w:gridCol w:w="1932"/>
        <w:gridCol w:w="19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94" w:hRule="atLeast"/>
          <w:jc w:val="center"/>
        </w:trPr>
        <w:tc>
          <w:tcPr>
            <w:tcW w:w="267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1164"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16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67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164"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4923</w:t>
            </w:r>
          </w:p>
        </w:tc>
        <w:tc>
          <w:tcPr>
            <w:tcW w:w="1165"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37783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67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1164"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4611</w:t>
            </w:r>
          </w:p>
        </w:tc>
        <w:tc>
          <w:tcPr>
            <w:tcW w:w="1165"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37258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67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港澳台投资企业、外商投资企业和其他统计类别</w:t>
            </w:r>
          </w:p>
        </w:tc>
        <w:tc>
          <w:tcPr>
            <w:tcW w:w="1164"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312</w:t>
            </w:r>
          </w:p>
        </w:tc>
        <w:tc>
          <w:tcPr>
            <w:tcW w:w="1165"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525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2023年末，科学研究和技术服务业企业法人单位资产总计</w:t>
      </w:r>
      <w:r>
        <w:rPr>
          <w:rFonts w:hint="eastAsia" w:ascii="仿宋" w:hAnsi="仿宋" w:eastAsia="仿宋" w:cs="仿宋"/>
          <w:color w:val="000000"/>
          <w:spacing w:val="-6"/>
          <w:kern w:val="2"/>
          <w:sz w:val="32"/>
          <w:szCs w:val="32"/>
          <w:u w:val="none"/>
          <w:lang w:val="en" w:eastAsia="zh-CN" w:bidi="ar-SA"/>
        </w:rPr>
        <w:t>142.59</w:t>
      </w:r>
      <w:r>
        <w:rPr>
          <w:rFonts w:hint="eastAsia" w:ascii="仿宋" w:hAnsi="仿宋" w:eastAsia="仿宋" w:cs="仿宋"/>
          <w:color w:val="000000"/>
          <w:spacing w:val="-6"/>
          <w:kern w:val="2"/>
          <w:sz w:val="32"/>
          <w:szCs w:val="32"/>
          <w:u w:val="none"/>
          <w:lang w:val="en-US" w:eastAsia="zh-CN" w:bidi="ar-SA"/>
        </w:rPr>
        <w:t>亿元，比2018年末增长</w:t>
      </w:r>
      <w:r>
        <w:rPr>
          <w:rFonts w:hint="eastAsia" w:ascii="仿宋" w:hAnsi="仿宋" w:eastAsia="仿宋" w:cs="仿宋"/>
          <w:color w:val="000000"/>
          <w:spacing w:val="-6"/>
          <w:kern w:val="2"/>
          <w:sz w:val="32"/>
          <w:szCs w:val="32"/>
          <w:u w:val="none"/>
          <w:lang w:val="en" w:eastAsia="zh-CN" w:bidi="ar-SA"/>
        </w:rPr>
        <w:t>133.6</w:t>
      </w:r>
      <w:r>
        <w:rPr>
          <w:rFonts w:hint="eastAsia" w:ascii="仿宋" w:hAnsi="仿宋" w:eastAsia="仿宋" w:cs="仿宋"/>
          <w:color w:val="000000"/>
          <w:spacing w:val="-6"/>
          <w:kern w:val="2"/>
          <w:sz w:val="32"/>
          <w:szCs w:val="32"/>
          <w:u w:val="none"/>
          <w:lang w:val="en-US" w:eastAsia="zh-CN" w:bidi="ar-SA"/>
        </w:rPr>
        <w:t>%；负债合计</w:t>
      </w:r>
      <w:r>
        <w:rPr>
          <w:rFonts w:hint="eastAsia" w:ascii="仿宋" w:hAnsi="仿宋" w:eastAsia="仿宋" w:cs="仿宋"/>
          <w:color w:val="000000"/>
          <w:spacing w:val="-6"/>
          <w:kern w:val="2"/>
          <w:sz w:val="32"/>
          <w:szCs w:val="32"/>
          <w:u w:val="none"/>
          <w:lang w:val="en" w:eastAsia="zh-CN" w:bidi="ar-SA"/>
        </w:rPr>
        <w:t>54.05</w:t>
      </w:r>
      <w:r>
        <w:rPr>
          <w:rFonts w:hint="eastAsia" w:ascii="仿宋" w:hAnsi="仿宋" w:eastAsia="仿宋" w:cs="仿宋"/>
          <w:color w:val="000000"/>
          <w:spacing w:val="-6"/>
          <w:kern w:val="2"/>
          <w:sz w:val="32"/>
          <w:szCs w:val="32"/>
          <w:u w:val="none"/>
          <w:lang w:val="en-US" w:eastAsia="zh-CN" w:bidi="ar-SA"/>
        </w:rPr>
        <w:t>亿元，比2018年末增长</w:t>
      </w:r>
      <w:r>
        <w:rPr>
          <w:rFonts w:hint="eastAsia" w:ascii="仿宋" w:hAnsi="仿宋" w:eastAsia="仿宋" w:cs="仿宋"/>
          <w:color w:val="000000"/>
          <w:spacing w:val="-6"/>
          <w:kern w:val="2"/>
          <w:sz w:val="32"/>
          <w:szCs w:val="32"/>
          <w:u w:val="none"/>
          <w:lang w:val="en" w:eastAsia="zh-CN" w:bidi="ar-SA"/>
        </w:rPr>
        <w:t>225.8</w:t>
      </w:r>
      <w:r>
        <w:rPr>
          <w:rFonts w:hint="eastAsia" w:ascii="仿宋" w:hAnsi="仿宋" w:eastAsia="仿宋" w:cs="仿宋"/>
          <w:color w:val="000000"/>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2023年，科学研究和技术服务业企业法人单位全年实现营业收入</w:t>
      </w:r>
      <w:r>
        <w:rPr>
          <w:rFonts w:hint="eastAsia" w:ascii="仿宋" w:hAnsi="仿宋" w:eastAsia="仿宋" w:cs="仿宋"/>
          <w:color w:val="000000"/>
          <w:spacing w:val="-6"/>
          <w:kern w:val="2"/>
          <w:sz w:val="32"/>
          <w:szCs w:val="32"/>
          <w:u w:val="none"/>
          <w:lang w:val="en" w:eastAsia="zh-CN" w:bidi="ar-SA"/>
        </w:rPr>
        <w:t>105.81</w:t>
      </w:r>
      <w:r>
        <w:rPr>
          <w:rFonts w:hint="eastAsia" w:ascii="仿宋" w:hAnsi="仿宋" w:eastAsia="仿宋" w:cs="仿宋"/>
          <w:color w:val="000000"/>
          <w:spacing w:val="-6"/>
          <w:kern w:val="2"/>
          <w:sz w:val="32"/>
          <w:szCs w:val="32"/>
          <w:u w:val="none"/>
          <w:lang w:val="en-US" w:eastAsia="zh-CN" w:bidi="ar-SA"/>
        </w:rPr>
        <w:t>亿元，比2018年增长</w:t>
      </w:r>
      <w:r>
        <w:rPr>
          <w:rFonts w:hint="eastAsia" w:ascii="仿宋" w:hAnsi="仿宋" w:eastAsia="仿宋" w:cs="仿宋"/>
          <w:color w:val="000000"/>
          <w:spacing w:val="-6"/>
          <w:kern w:val="2"/>
          <w:sz w:val="32"/>
          <w:szCs w:val="32"/>
          <w:u w:val="none"/>
          <w:lang w:val="en" w:eastAsia="zh-CN" w:bidi="ar-SA"/>
        </w:rPr>
        <w:t>143.5</w:t>
      </w:r>
      <w:r>
        <w:rPr>
          <w:rFonts w:hint="eastAsia" w:ascii="仿宋" w:hAnsi="仿宋" w:eastAsia="仿宋" w:cs="仿宋"/>
          <w:color w:val="000000"/>
          <w:spacing w:val="-6"/>
          <w:kern w:val="2"/>
          <w:sz w:val="32"/>
          <w:szCs w:val="32"/>
          <w:u w:val="none"/>
          <w:lang w:val="en-US" w:eastAsia="zh-CN" w:bidi="ar-SA"/>
        </w:rPr>
        <w:t>%（详见表5-3）。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both"/>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表5-3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企业法人单位主要经济指标</w:t>
      </w:r>
    </w:p>
    <w:tbl>
      <w:tblPr>
        <w:tblStyle w:val="2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03"/>
        <w:gridCol w:w="1502"/>
        <w:gridCol w:w="1500"/>
        <w:gridCol w:w="150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4041"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1563"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142.59</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54.05</w:t>
            </w:r>
          </w:p>
        </w:tc>
        <w:tc>
          <w:tcPr>
            <w:tcW w:w="156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 w:eastAsia="zh-CN" w:bidi="ar-SA"/>
              </w:rPr>
            </w:pPr>
            <w:r>
              <w:rPr>
                <w:rFonts w:hint="default" w:ascii="Times New Roman" w:hAnsi="Times New Roman" w:eastAsia="宋体" w:cs="宋体"/>
                <w:b w:val="0"/>
                <w:bCs w:val="0"/>
                <w:color w:val="000000"/>
                <w:kern w:val="2"/>
                <w:sz w:val="21"/>
                <w:szCs w:val="21"/>
                <w:highlight w:val="none"/>
                <w:lang w:val="en" w:eastAsia="zh-CN" w:bidi="ar-SA"/>
              </w:rPr>
              <w:t>105.81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研究和试验发展</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29.42</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9.07</w:t>
            </w: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13.85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专业技术服务业</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49.94</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18.91</w:t>
            </w: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39.86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科技推广和应用服务业</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63.23</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26.07</w:t>
            </w:r>
          </w:p>
        </w:tc>
        <w:tc>
          <w:tcPr>
            <w:tcW w:w="156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default" w:ascii="Times New Roman" w:hAnsi="Times New Roman" w:eastAsia="宋体" w:cs="宋体"/>
                <w:color w:val="000000"/>
                <w:kern w:val="2"/>
                <w:sz w:val="21"/>
                <w:szCs w:val="21"/>
                <w:highlight w:val="none"/>
                <w:lang w:val="en" w:eastAsia="zh-CN" w:bidi="ar-SA"/>
              </w:rPr>
              <w:t>52.10</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二、水利、环境和公共设施管理业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2023年末，全市共有水利、环境和公共设施管理业法人单位798个，从业人员13260人，分别比2018年末增长50.9%和15.0%。其中，行政事业及非企业法人单位84个，比2018年末下降32.3%；从业人员2002人，比2018年末下降33.9%。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2023年末，水利、环境和公共设施管理业企业法人单位资产总计245.41亿元，比2018年末增长305.2%；负债合计111.04亿元，比2018年末增长226.7%。全年实现营业收入27.96亿元，比2018年增长70.9%。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全市水利、环境和公共设施管理业行政事业及非企业法人单位年末资产13.5亿元，比2018年末增长49.3%。本年支出（费用）合计8.6亿元，比2018年增长101.9%。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三、居民服务、修理和其他服务业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（一）企业法人单位数和从业人员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 w:eastAsia="zh-CN" w:bidi="ar-SA"/>
        </w:rPr>
        <w:t>2023年末，全市共有居民服务、修理和其他服务业企业法人单位</w:t>
      </w:r>
      <w:r>
        <w:rPr>
          <w:rFonts w:hint="eastAsia" w:ascii="仿宋" w:hAnsi="仿宋" w:eastAsia="仿宋" w:cs="仿宋"/>
          <w:color w:val="000000"/>
          <w:spacing w:val="-6"/>
          <w:kern w:val="2"/>
          <w:sz w:val="32"/>
          <w:szCs w:val="32"/>
          <w:u w:val="none"/>
          <w:lang w:val="en-US" w:eastAsia="zh-CN" w:bidi="ar-SA"/>
        </w:rPr>
        <w:t>2145</w:t>
      </w:r>
      <w:r>
        <w:rPr>
          <w:rFonts w:hint="eastAsia" w:ascii="仿宋" w:hAnsi="仿宋" w:eastAsia="仿宋" w:cs="仿宋"/>
          <w:color w:val="000000"/>
          <w:spacing w:val="-6"/>
          <w:kern w:val="2"/>
          <w:sz w:val="32"/>
          <w:szCs w:val="32"/>
          <w:u w:val="none"/>
          <w:lang w:val="en" w:eastAsia="zh-CN" w:bidi="ar-SA"/>
        </w:rPr>
        <w:t>个，从业人员</w:t>
      </w:r>
      <w:r>
        <w:rPr>
          <w:rFonts w:hint="eastAsia" w:ascii="仿宋" w:hAnsi="仿宋" w:eastAsia="仿宋" w:cs="仿宋"/>
          <w:color w:val="000000"/>
          <w:spacing w:val="-6"/>
          <w:kern w:val="2"/>
          <w:sz w:val="32"/>
          <w:szCs w:val="32"/>
          <w:u w:val="none"/>
          <w:lang w:val="en-US" w:eastAsia="zh-CN" w:bidi="ar-SA"/>
        </w:rPr>
        <w:t>15515</w:t>
      </w:r>
      <w:r>
        <w:rPr>
          <w:rFonts w:hint="eastAsia" w:ascii="仿宋" w:hAnsi="仿宋" w:eastAsia="仿宋" w:cs="仿宋"/>
          <w:color w:val="000000"/>
          <w:spacing w:val="-6"/>
          <w:kern w:val="2"/>
          <w:sz w:val="32"/>
          <w:szCs w:val="32"/>
          <w:u w:val="none"/>
          <w:lang w:val="en" w:eastAsia="zh-CN" w:bidi="ar-SA"/>
        </w:rPr>
        <w:t>人，分别比2018年末增长</w:t>
      </w:r>
      <w:r>
        <w:rPr>
          <w:rFonts w:hint="eastAsia" w:ascii="仿宋" w:hAnsi="仿宋" w:eastAsia="仿宋" w:cs="仿宋"/>
          <w:color w:val="000000"/>
          <w:spacing w:val="-6"/>
          <w:kern w:val="2"/>
          <w:sz w:val="32"/>
          <w:szCs w:val="32"/>
          <w:u w:val="none"/>
          <w:lang w:val="en-US" w:eastAsia="zh-CN" w:bidi="ar-SA"/>
        </w:rPr>
        <w:t>73.0</w:t>
      </w:r>
      <w:r>
        <w:rPr>
          <w:rFonts w:hint="eastAsia" w:ascii="仿宋" w:hAnsi="仿宋" w:eastAsia="仿宋" w:cs="仿宋"/>
          <w:color w:val="000000"/>
          <w:spacing w:val="-6"/>
          <w:kern w:val="2"/>
          <w:sz w:val="32"/>
          <w:szCs w:val="32"/>
          <w:u w:val="none"/>
          <w:lang w:val="en" w:eastAsia="zh-CN" w:bidi="ar-SA"/>
        </w:rPr>
        <w:t>%和</w:t>
      </w:r>
      <w:r>
        <w:rPr>
          <w:rFonts w:hint="eastAsia" w:ascii="仿宋" w:hAnsi="仿宋" w:eastAsia="仿宋" w:cs="仿宋"/>
          <w:color w:val="000000"/>
          <w:spacing w:val="-6"/>
          <w:kern w:val="2"/>
          <w:sz w:val="32"/>
          <w:szCs w:val="32"/>
          <w:u w:val="none"/>
          <w:lang w:val="en-US" w:eastAsia="zh-CN" w:bidi="ar-SA"/>
        </w:rPr>
        <w:t>44.4</w:t>
      </w:r>
      <w:r>
        <w:rPr>
          <w:rFonts w:hint="eastAsia" w:ascii="仿宋" w:hAnsi="仿宋" w:eastAsia="仿宋" w:cs="仿宋"/>
          <w:color w:val="000000"/>
          <w:spacing w:val="-6"/>
          <w:kern w:val="2"/>
          <w:sz w:val="32"/>
          <w:szCs w:val="32"/>
          <w:u w:val="none"/>
          <w:lang w:val="en" w:eastAsia="zh-CN" w:bidi="ar-SA"/>
        </w:rPr>
        <w:t>%（详见表5-4）</w:t>
      </w:r>
      <w:r>
        <w:rPr>
          <w:rFonts w:hint="eastAsia" w:ascii="仿宋" w:hAnsi="仿宋" w:eastAsia="仿宋" w:cs="仿宋"/>
          <w:color w:val="000000"/>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表5-4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企业法人单位数和从业人员</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46"/>
        <w:gridCol w:w="2078"/>
        <w:gridCol w:w="207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00000"/>
                <w:sz w:val="21"/>
                <w:szCs w:val="21"/>
                <w:highlight w:val="none"/>
              </w:rPr>
            </w:pPr>
          </w:p>
        </w:tc>
        <w:tc>
          <w:tcPr>
            <w:tcW w:w="125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25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251"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2145</w:t>
            </w:r>
          </w:p>
        </w:tc>
        <w:tc>
          <w:tcPr>
            <w:tcW w:w="1251"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15515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居民服务业</w:t>
            </w:r>
          </w:p>
        </w:tc>
        <w:tc>
          <w:tcPr>
            <w:tcW w:w="125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1018</w:t>
            </w:r>
          </w:p>
        </w:tc>
        <w:tc>
          <w:tcPr>
            <w:tcW w:w="12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7329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249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机动车、电子产品和日用产品修理业</w:t>
            </w:r>
          </w:p>
        </w:tc>
        <w:tc>
          <w:tcPr>
            <w:tcW w:w="125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764</w:t>
            </w:r>
          </w:p>
        </w:tc>
        <w:tc>
          <w:tcPr>
            <w:tcW w:w="1251"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4685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其他服务业</w:t>
            </w:r>
          </w:p>
        </w:tc>
        <w:tc>
          <w:tcPr>
            <w:tcW w:w="1251"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363</w:t>
            </w:r>
          </w:p>
        </w:tc>
        <w:tc>
          <w:tcPr>
            <w:tcW w:w="1251"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3501</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2023年末，居民服务、修理和其他服务业企业法人单位资产总计53.78亿元，比2018年末增长90.9%；负债合计24.72亿元，比2018年末增长679.8%。全年实现营业收入35.83亿元，比2018年增长60.1%（详见表5-5）。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表5-5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企业法人单位主要经济指标</w:t>
      </w:r>
    </w:p>
    <w:tbl>
      <w:tblPr>
        <w:tblStyle w:val="2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18"/>
        <w:gridCol w:w="1395"/>
        <w:gridCol w:w="1395"/>
        <w:gridCol w:w="13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84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color w:val="000000"/>
                <w:sz w:val="21"/>
                <w:szCs w:val="24"/>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4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4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840"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53.78</w:t>
            </w:r>
          </w:p>
        </w:tc>
        <w:tc>
          <w:tcPr>
            <w:tcW w:w="840"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24.72</w:t>
            </w:r>
          </w:p>
        </w:tc>
        <w:tc>
          <w:tcPr>
            <w:tcW w:w="840"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val="0"/>
                <w:bCs w:val="0"/>
                <w:color w:val="000000"/>
                <w:kern w:val="2"/>
                <w:sz w:val="21"/>
                <w:szCs w:val="21"/>
                <w:highlight w:val="none"/>
                <w:lang w:val="en-US" w:eastAsia="zh-CN" w:bidi="ar-SA"/>
              </w:rPr>
            </w:pPr>
            <w:r>
              <w:rPr>
                <w:rFonts w:hint="eastAsia" w:ascii="Times New Roman" w:hAnsi="Times New Roman" w:eastAsia="宋体" w:cs="宋体"/>
                <w:b w:val="0"/>
                <w:bCs w:val="0"/>
                <w:color w:val="000000"/>
                <w:kern w:val="2"/>
                <w:sz w:val="21"/>
                <w:szCs w:val="21"/>
                <w:highlight w:val="none"/>
                <w:lang w:val="en-US" w:eastAsia="zh-CN" w:bidi="ar-SA"/>
              </w:rPr>
              <w:t>35.83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居民服务业</w:t>
            </w:r>
          </w:p>
        </w:tc>
        <w:tc>
          <w:tcPr>
            <w:tcW w:w="84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13.37</w:t>
            </w:r>
          </w:p>
        </w:tc>
        <w:tc>
          <w:tcPr>
            <w:tcW w:w="84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2.84</w:t>
            </w:r>
          </w:p>
        </w:tc>
        <w:tc>
          <w:tcPr>
            <w:tcW w:w="84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15.75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机动车、电子产品和日用产品修理业</w:t>
            </w:r>
          </w:p>
        </w:tc>
        <w:tc>
          <w:tcPr>
            <w:tcW w:w="84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11.71</w:t>
            </w:r>
          </w:p>
        </w:tc>
        <w:tc>
          <w:tcPr>
            <w:tcW w:w="840"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2.81</w:t>
            </w:r>
          </w:p>
        </w:tc>
        <w:tc>
          <w:tcPr>
            <w:tcW w:w="84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12.44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其他服务业</w:t>
            </w:r>
          </w:p>
        </w:tc>
        <w:tc>
          <w:tcPr>
            <w:tcW w:w="840"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28.70</w:t>
            </w:r>
          </w:p>
        </w:tc>
        <w:tc>
          <w:tcPr>
            <w:tcW w:w="840"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 w:eastAsia="zh-CN" w:bidi="ar-SA"/>
              </w:rPr>
            </w:pPr>
            <w:r>
              <w:rPr>
                <w:rFonts w:hint="eastAsia" w:ascii="Times New Roman" w:hAnsi="Times New Roman" w:eastAsia="宋体" w:cs="宋体"/>
                <w:color w:val="000000"/>
                <w:kern w:val="2"/>
                <w:sz w:val="21"/>
                <w:szCs w:val="21"/>
                <w:highlight w:val="none"/>
                <w:lang w:val="en-US" w:eastAsia="zh-CN" w:bidi="ar-SA"/>
              </w:rPr>
              <w:t>19.0</w:t>
            </w:r>
            <w:r>
              <w:rPr>
                <w:rFonts w:hint="default" w:ascii="Times New Roman" w:hAnsi="Times New Roman" w:eastAsia="宋体" w:cs="宋体"/>
                <w:color w:val="000000"/>
                <w:kern w:val="2"/>
                <w:sz w:val="21"/>
                <w:szCs w:val="21"/>
                <w:highlight w:val="none"/>
                <w:lang w:val="en" w:eastAsia="zh-CN" w:bidi="ar-SA"/>
              </w:rPr>
              <w:t>7</w:t>
            </w:r>
          </w:p>
        </w:tc>
        <w:tc>
          <w:tcPr>
            <w:tcW w:w="840"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00000"/>
                <w:kern w:val="2"/>
                <w:sz w:val="21"/>
                <w:szCs w:val="21"/>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SA"/>
              </w:rPr>
              <w:t>7.64</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四、教育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highlight w:val="yellow"/>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2023年末，全市共有教育法人单位4455个，从业人员117477人，分别比2018年末增长5.9%和21.3%。其中，行政事业及非企业法人单位2447个，比2018年末下降16.0%；从业人员85422人，</w:t>
      </w:r>
      <w:r>
        <w:rPr>
          <w:rFonts w:hint="eastAsia" w:ascii="仿宋" w:hAnsi="仿宋" w:eastAsia="仿宋" w:cs="仿宋"/>
          <w:color w:val="000000"/>
          <w:spacing w:val="-6"/>
          <w:kern w:val="2"/>
          <w:sz w:val="32"/>
          <w:szCs w:val="32"/>
          <w:highlight w:val="none"/>
          <w:u w:val="none"/>
          <w:lang w:val="en-US" w:eastAsia="zh-CN" w:bidi="ar-SA"/>
        </w:rPr>
        <w:t>比2018年末增长10.5%。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2023年末，教育企业法人单位资产总计75.35亿元，比2018年末增长85.4%；负债合计34.43亿元，比2018年末增长136.0%。全年实现营业收入51.01亿元，比2018年增长112.2%。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全市教育行政事业及非企业法人单位年末资产325.0亿元，比2018年末增长22.9%。本年支出（费用）合计146.0亿元，比2018年增长28.7%。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000000"/>
          <w:spacing w:val="-6"/>
          <w:kern w:val="2"/>
          <w:sz w:val="32"/>
          <w:szCs w:val="32"/>
          <w:u w:val="none"/>
          <w:lang w:val="en-US" w:eastAsia="zh-CN" w:bidi="ar-SA"/>
        </w:rPr>
      </w:pPr>
      <w:r>
        <w:rPr>
          <w:rFonts w:hint="eastAsia" w:ascii="黑体" w:hAnsi="黑体" w:eastAsia="黑体" w:cs="黑体"/>
          <w:color w:val="000000"/>
          <w:spacing w:val="-6"/>
          <w:kern w:val="2"/>
          <w:sz w:val="32"/>
          <w:szCs w:val="32"/>
          <w:u w:val="none"/>
          <w:lang w:val="en-US" w:eastAsia="zh-CN" w:bidi="ar-SA"/>
        </w:rPr>
        <w:t>五、卫生和社会工作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2023年末，全市共有卫生和社会工作法人单位2321个，从业人员56885人，分别比2018年末增长6.3%和20.7%。其中，行政事业及非企业法人单位1253个，比2018年末下降17.9%；从业人员42593人，比2018年末增长16.0%。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2023年末，卫生和社会工作企业法人单位资产总计37.88亿元，比2018年末下降10.2%；负债合计13.56亿元，比2018年末下降10.2%。全年实现营业收入32.46亿元，比2018年增长36.5%。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全市卫生和社会工作行政事业及非企业法人单位年末资产222.2亿元，比2018年末增长59.3%。本年支出（费用）合计136.7亿元，比2018年增长52.6%。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b w:val="0"/>
          <w:bCs w:val="0"/>
          <w:color w:val="000000"/>
          <w:spacing w:val="-6"/>
          <w:kern w:val="2"/>
          <w:sz w:val="32"/>
          <w:szCs w:val="32"/>
          <w:u w:val="none"/>
          <w:lang w:val="en-US" w:eastAsia="zh-CN" w:bidi="ar-SA"/>
        </w:rPr>
      </w:pPr>
      <w:r>
        <w:rPr>
          <w:rFonts w:hint="eastAsia" w:ascii="黑体" w:hAnsi="黑体" w:eastAsia="黑体" w:cs="黑体"/>
          <w:b w:val="0"/>
          <w:bCs w:val="0"/>
          <w:color w:val="000000"/>
          <w:spacing w:val="-6"/>
          <w:kern w:val="2"/>
          <w:sz w:val="32"/>
          <w:szCs w:val="32"/>
          <w:u w:val="none"/>
          <w:lang w:val="en-US" w:eastAsia="zh-CN" w:bidi="ar-SA"/>
        </w:rPr>
        <w:t>六、文化、体育和娱乐业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2023年末，全市共有文化、体育和娱乐业法人单位2609个，从业人员17359人，分别比2018年末增长91.3%和58.2%。其中，企业法人单位2457个，从业人员16156人，分别比2018年末增长103.1%和73.0%。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000000"/>
          <w:spacing w:val="-6"/>
          <w:kern w:val="2"/>
          <w:sz w:val="32"/>
          <w:szCs w:val="32"/>
          <w:u w:val="none"/>
          <w:lang w:val="en-US" w:eastAsia="zh-CN" w:bidi="ar-SA"/>
        </w:rPr>
      </w:pPr>
      <w:r>
        <w:rPr>
          <w:rFonts w:hint="eastAsia" w:ascii="楷体_GB2312" w:hAnsi="楷体_GB2312" w:eastAsia="楷体_GB2312" w:cs="楷体_GB2312"/>
          <w:b/>
          <w:bCs/>
          <w:color w:val="000000"/>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2023年末，文化、体育和娱乐业企业法人单位资产总计35.01亿元，比2018年末增长46.2%；负债合计9.76亿元，比2018年末增长148.3%。全年实现营业收入37.57亿元，比2018年增长119.7%。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全市文化、体育和娱乐业行政事业及非企业法人单位年末资产39.7亿元，比2018年末增长692.4%。本年支出（费用）合计1.6亿元，比2018年下降31.9%。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b w:val="0"/>
          <w:bCs w:val="0"/>
          <w:color w:val="000000"/>
          <w:spacing w:val="-6"/>
          <w:kern w:val="2"/>
          <w:sz w:val="32"/>
          <w:szCs w:val="32"/>
          <w:u w:val="none"/>
          <w:lang w:val="en-US" w:eastAsia="zh-CN" w:bidi="ar-SA"/>
        </w:rPr>
      </w:pPr>
      <w:r>
        <w:rPr>
          <w:rFonts w:hint="eastAsia" w:ascii="黑体" w:hAnsi="黑体" w:eastAsia="黑体" w:cs="黑体"/>
          <w:b w:val="0"/>
          <w:bCs w:val="0"/>
          <w:color w:val="000000"/>
          <w:spacing w:val="-6"/>
          <w:kern w:val="2"/>
          <w:sz w:val="32"/>
          <w:szCs w:val="32"/>
          <w:u w:val="none"/>
          <w:lang w:val="en-US" w:eastAsia="zh-CN" w:bidi="ar-SA"/>
        </w:rPr>
        <w:t>七、公共管理、社会保障和社会组织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2023年末，全市共有公共管理、社会保障和社会组织法人单位7151个，比2018年末下降0.3%；从业人员107148人，增长7.8%。行政事业及非企业法人单位本年支出（费用）合计367.7亿元，比2018年增长44.6%。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_GBK" w:cs="仿宋_GB2312"/>
          <w:i w:val="0"/>
          <w:caps w:val="0"/>
          <w:color w:val="000000"/>
          <w:spacing w:val="0"/>
          <w:sz w:val="28"/>
          <w:szCs w:val="28"/>
          <w:highlight w:val="none"/>
        </w:rPr>
      </w:pPr>
      <w:r>
        <w:rPr>
          <w:rFonts w:hint="eastAsia" w:ascii="Times New Roman" w:hAnsi="Times New Roman" w:eastAsia="黑体" w:cs="黑体"/>
          <w:b w:val="0"/>
          <w:bCs/>
          <w:i w:val="0"/>
          <w:caps w:val="0"/>
          <w:color w:val="000000"/>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560" w:firstLineChars="200"/>
        <w:jc w:val="both"/>
        <w:textAlignment w:val="auto"/>
        <w:rPr>
          <w:rFonts w:hint="eastAsia" w:ascii="楷体" w:hAnsi="楷体" w:eastAsia="楷体" w:cs="楷体"/>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仿宋" w:hAnsi="仿宋" w:eastAsia="仿宋" w:cs="仿宋"/>
          <w:i w:val="0"/>
          <w:caps w:val="0"/>
          <w:color w:val="000000"/>
          <w:spacing w:val="0"/>
          <w:kern w:val="0"/>
          <w:sz w:val="28"/>
          <w:szCs w:val="28"/>
          <w:highlight w:val="none"/>
          <w:lang w:val="en-US" w:eastAsia="zh-CN" w:bidi="ar"/>
        </w:rPr>
      </w:pPr>
      <w:r>
        <w:rPr>
          <w:rFonts w:hint="eastAsia" w:ascii="楷体" w:hAnsi="楷体" w:eastAsia="楷体" w:cs="楷体"/>
          <w:i w:val="0"/>
          <w:caps w:val="0"/>
          <w:color w:val="000000"/>
          <w:spacing w:val="0"/>
          <w:kern w:val="0"/>
          <w:sz w:val="28"/>
          <w:szCs w:val="28"/>
          <w:highlight w:val="none"/>
          <w:lang w:val="en-US" w:eastAsia="zh-CN" w:bidi="ar"/>
        </w:rPr>
        <w:t>[3]表中的合计数和部分计算数据因小数取舍而产生的误差，均未作机械调整。为保证数据精确度，个别数据保留2位小数。</w:t>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left"/>
        <w:textAlignment w:val="auto"/>
        <w:rPr>
          <w:rFonts w:hint="eastAsia" w:ascii="Times New Roman" w:hAnsi="Times New Roman" w:eastAsia="方正小标宋_GBK" w:cs="Times New Roman"/>
          <w:bCs/>
          <w:color w:val="000000"/>
          <w:kern w:val="0"/>
          <w:sz w:val="44"/>
          <w:szCs w:val="44"/>
          <w:shd w:val="clear" w:color="auto" w:fill="FFFFFF"/>
          <w:lang w:val="en-US" w:eastAsia="zh-CN" w:bidi="ar"/>
        </w:rPr>
      </w:pPr>
    </w:p>
    <w:p>
      <w:pPr>
        <w:spacing w:line="120" w:lineRule="exact"/>
        <w:rPr>
          <w:rFonts w:hint="eastAsia" w:eastAsia="宋体"/>
          <w:lang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rPr>
          <w:rFonts w:hint="eastAsia" w:ascii="Times New Roman" w:hAnsi="Times New Roman" w:eastAsia="方正小标宋_GBK" w:cs="Times New Roman"/>
          <w:bCs/>
          <w:color w:val="auto"/>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0"/>
        <w:rPr>
          <w:rFonts w:hint="eastAsia" w:ascii="Times New Roman" w:hAnsi="Times New Roman" w:eastAsia="方正小标宋_GBK" w:cs="Times New Roman"/>
          <w:bCs/>
          <w:color w:val="auto"/>
          <w:kern w:val="0"/>
          <w:sz w:val="44"/>
          <w:szCs w:val="44"/>
          <w:shd w:val="clear" w:color="auto" w:fill="FFFFFF"/>
          <w:lang w:val="en-US" w:eastAsia="zh-CN" w:bidi="ar"/>
        </w:rPr>
      </w:pPr>
      <w:r>
        <w:rPr>
          <w:rFonts w:hint="eastAsia" w:ascii="Times New Roman" w:hAnsi="Times New Roman" w:eastAsia="方正小标宋_GBK" w:cs="Times New Roman"/>
          <w:bCs/>
          <w:color w:val="auto"/>
          <w:kern w:val="0"/>
          <w:sz w:val="44"/>
          <w:szCs w:val="44"/>
          <w:shd w:val="clear" w:color="auto" w:fill="FFFFFF"/>
          <w:lang w:val="en-US" w:eastAsia="zh-CN" w:bidi="ar"/>
        </w:rPr>
        <w:t>新乡市第五次全国经济普查公报（第六号）</w:t>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1"/>
        <w:rPr>
          <w:rFonts w:hint="eastAsia" w:ascii="Times New Roman" w:hAnsi="Times New Roman" w:eastAsia="方正小标宋_GBK" w:cs="Times New Roman"/>
          <w:bCs/>
          <w:color w:val="auto"/>
          <w:kern w:val="0"/>
          <w:sz w:val="44"/>
          <w:szCs w:val="44"/>
          <w:shd w:val="clear" w:color="auto" w:fill="FFFFFF"/>
          <w:lang w:val="en-US" w:eastAsia="zh-CN" w:bidi="ar"/>
        </w:rPr>
      </w:pPr>
      <w:r>
        <w:rPr>
          <w:rFonts w:hint="eastAsia" w:ascii="Times New Roman" w:hAnsi="Times New Roman" w:eastAsia="方正小标宋_GBK" w:cs="Times New Roman"/>
          <w:bCs/>
          <w:color w:val="auto"/>
          <w:kern w:val="0"/>
          <w:sz w:val="44"/>
          <w:szCs w:val="44"/>
          <w:shd w:val="clear" w:color="auto" w:fill="FFFFFF"/>
          <w:lang w:val="en-US" w:eastAsia="zh-CN" w:bidi="ar"/>
        </w:rPr>
        <w:t>——部分新兴产业发展情况</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rPr>
          <w:rFonts w:hint="eastAsia" w:ascii="Times New Roman" w:hAnsi="Times New Roman" w:eastAsia="方正楷体_GBK" w:cs="方正楷体_GBK"/>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default" w:ascii="Times New Roman" w:hAnsi="Times New Roman" w:cs="Times New Roman"/>
          <w:color w:val="auto"/>
          <w:sz w:val="32"/>
          <w:szCs w:val="32"/>
          <w:lang w:val="en-US" w:eastAsia="zh-CN"/>
        </w:rPr>
      </w:pPr>
      <w:r>
        <w:rPr>
          <w:rFonts w:hint="eastAsia" w:ascii="楷体" w:hAnsi="楷体" w:eastAsia="楷体" w:cs="楷体"/>
          <w:color w:val="auto"/>
          <w:kern w:val="2"/>
          <w:sz w:val="32"/>
          <w:szCs w:val="32"/>
          <w:lang w:val="en-US" w:eastAsia="zh-CN" w:bidi="ar-SA"/>
        </w:rPr>
        <w:t>（2025年5月28日）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Times New Roman" w:hAnsi="Times New Roman" w:cs="Times New Roman"/>
          <w:color w:val="auto"/>
          <w:kern w:val="2"/>
          <w:sz w:val="36"/>
          <w:szCs w:val="36"/>
          <w:u w:val="no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根据新乡市第五次全国经济普查结果，现将全市第二产业和第三产业中战略性新兴产业、高技术产业、数字经济核心产业等新兴产业的主要数据公布如下：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一、战略性新兴产业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auto"/>
          <w:spacing w:val="-6"/>
          <w:kern w:val="2"/>
          <w:sz w:val="32"/>
          <w:szCs w:val="32"/>
          <w:u w:val="none"/>
          <w:lang w:val="en-US" w:eastAsia="zh-CN" w:bidi="ar-SA"/>
        </w:rPr>
      </w:pPr>
      <w:r>
        <w:rPr>
          <w:rFonts w:hint="eastAsia" w:ascii="楷体_GB2312" w:hAnsi="楷体_GB2312" w:eastAsia="楷体_GB2312" w:cs="楷体_GB2312"/>
          <w:b/>
          <w:bCs/>
          <w:color w:val="auto"/>
          <w:spacing w:val="-6"/>
          <w:kern w:val="2"/>
          <w:sz w:val="32"/>
          <w:szCs w:val="32"/>
          <w:u w:val="none"/>
          <w:lang w:val="en-US" w:eastAsia="zh-CN" w:bidi="ar-SA"/>
        </w:rPr>
        <w:t>（一）工业战略性新兴产业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2023年末，全市从事战略性新兴产业生产的规模以上工业企业法人单位</w:t>
      </w:r>
      <w:r>
        <w:rPr>
          <w:rFonts w:hint="eastAsia" w:ascii="仿宋" w:hAnsi="仿宋" w:eastAsia="仿宋" w:cs="仿宋"/>
          <w:color w:val="auto"/>
          <w:spacing w:val="-6"/>
          <w:kern w:val="2"/>
          <w:sz w:val="32"/>
          <w:szCs w:val="32"/>
          <w:u w:val="none"/>
          <w:vertAlign w:val="superscript"/>
          <w:lang w:val="en-US" w:eastAsia="zh-CN" w:bidi="ar-SA"/>
        </w:rPr>
        <w:footnoteReference w:id="4"/>
      </w:r>
      <w:r>
        <w:rPr>
          <w:rFonts w:hint="eastAsia" w:ascii="仿宋" w:hAnsi="仿宋" w:eastAsia="仿宋" w:cs="仿宋"/>
          <w:color w:val="auto"/>
          <w:spacing w:val="-6"/>
          <w:kern w:val="2"/>
          <w:sz w:val="32"/>
          <w:szCs w:val="32"/>
          <w:u w:val="none"/>
          <w:lang w:val="en-US" w:eastAsia="zh-CN" w:bidi="ar-SA"/>
        </w:rPr>
        <w:t>250</w:t>
      </w:r>
      <w:r>
        <w:rPr>
          <w:rFonts w:hint="eastAsia" w:ascii="仿宋" w:hAnsi="仿宋" w:eastAsia="仿宋" w:cs="仿宋"/>
          <w:color w:val="auto"/>
          <w:spacing w:val="-6"/>
          <w:kern w:val="2"/>
          <w:sz w:val="32"/>
          <w:szCs w:val="32"/>
          <w:u w:val="none"/>
          <w:lang w:val="en" w:eastAsia="zh-CN" w:bidi="ar-SA"/>
        </w:rPr>
        <w:t>个</w:t>
      </w:r>
      <w:r>
        <w:rPr>
          <w:rFonts w:hint="eastAsia" w:ascii="仿宋" w:hAnsi="仿宋" w:eastAsia="仿宋" w:cs="仿宋"/>
          <w:color w:val="auto"/>
          <w:spacing w:val="-6"/>
          <w:kern w:val="2"/>
          <w:sz w:val="32"/>
          <w:szCs w:val="32"/>
          <w:u w:val="none"/>
          <w:vertAlign w:val="superscript"/>
          <w:lang w:val="en-US" w:eastAsia="zh-CN" w:bidi="ar-SA"/>
        </w:rPr>
        <w:footnoteReference w:id="5"/>
      </w:r>
      <w:r>
        <w:rPr>
          <w:rFonts w:hint="eastAsia" w:ascii="仿宋" w:hAnsi="仿宋" w:eastAsia="仿宋" w:cs="仿宋"/>
          <w:color w:val="auto"/>
          <w:spacing w:val="-6"/>
          <w:kern w:val="2"/>
          <w:sz w:val="32"/>
          <w:szCs w:val="32"/>
          <w:u w:val="none"/>
          <w:lang w:val="en-US" w:eastAsia="zh-CN" w:bidi="ar-SA"/>
        </w:rPr>
        <w:t>，占规模以上工业企业法人单位的12.1%。其中，新一代信息技术产业11个，占工业战略性新兴产业企业法人单位的4.4%；高端装备制造业29个，占11.6%；新材料产业39个，占15.6%；生物产业98个，占39.2%；新能源汽车产业7个，占2.8%；新能源产业32个，占12.8%；绿色环保产业33个，占13.2%；航空航天产业2个，占0.8%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auto"/>
          <w:spacing w:val="-6"/>
          <w:kern w:val="2"/>
          <w:sz w:val="32"/>
          <w:szCs w:val="32"/>
          <w:u w:val="none"/>
          <w:lang w:val="en-US" w:eastAsia="zh-CN" w:bidi="ar-SA"/>
        </w:rPr>
      </w:pPr>
      <w:r>
        <w:rPr>
          <w:rFonts w:hint="eastAsia" w:ascii="楷体_GB2312" w:hAnsi="楷体_GB2312" w:eastAsia="楷体_GB2312" w:cs="楷体_GB2312"/>
          <w:b/>
          <w:bCs/>
          <w:color w:val="auto"/>
          <w:spacing w:val="-6"/>
          <w:kern w:val="2"/>
          <w:sz w:val="32"/>
          <w:szCs w:val="32"/>
          <w:u w:val="none"/>
          <w:lang w:val="en-US" w:eastAsia="zh-CN" w:bidi="ar-SA"/>
        </w:rPr>
        <w:t>（二）服务业战略性新兴产业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从事战略性新兴产业活动的规模以上服务业企业法人单位35个，占规模以上服务业企业法人单位的9.8%。其中，新一代信息技术产业14个，占服务业战略性新兴产业企业法人单位的40%；数字创意产业2个，占5.7%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二、高技术产业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auto"/>
          <w:spacing w:val="-6"/>
          <w:kern w:val="2"/>
          <w:sz w:val="32"/>
          <w:szCs w:val="32"/>
          <w:u w:val="none"/>
          <w:lang w:val="en-US" w:eastAsia="zh-CN" w:bidi="ar-SA"/>
        </w:rPr>
      </w:pPr>
      <w:r>
        <w:rPr>
          <w:rFonts w:hint="eastAsia" w:ascii="楷体_GB2312" w:hAnsi="楷体_GB2312" w:eastAsia="楷体_GB2312" w:cs="楷体_GB2312"/>
          <w:b/>
          <w:bCs/>
          <w:color w:val="auto"/>
          <w:spacing w:val="-6"/>
          <w:kern w:val="2"/>
          <w:sz w:val="32"/>
          <w:szCs w:val="32"/>
          <w:u w:val="none"/>
          <w:lang w:val="en-US" w:eastAsia="zh-CN" w:bidi="ar-SA"/>
        </w:rPr>
        <w:t>（一）高技术制造业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2023年末，全市共有规模以上高技术制造业企业法人单位168个，比2018年末增长50.0%；占规模以上制造业企业法人单位的8.6%，比2018年末下降0.8个百分点。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2023年，全市规模以上高技术制造业企业法人单位全年实现营业收入364.46亿元，比2018年增长54.5%；占规模以上制造业企业法人单位营业收入的13.8%，比2018年提高</w:t>
      </w:r>
      <w:r>
        <w:rPr>
          <w:rFonts w:hint="eastAsia" w:ascii="仿宋" w:hAnsi="仿宋" w:eastAsia="仿宋" w:cs="仿宋"/>
          <w:color w:val="auto"/>
          <w:spacing w:val="-6"/>
          <w:kern w:val="2"/>
          <w:sz w:val="32"/>
          <w:szCs w:val="32"/>
          <w:highlight w:val="none"/>
          <w:u w:val="none"/>
          <w:lang w:val="en-US" w:eastAsia="zh-CN" w:bidi="ar-SA"/>
        </w:rPr>
        <w:t>1.5</w:t>
      </w:r>
      <w:r>
        <w:rPr>
          <w:rFonts w:hint="eastAsia" w:ascii="仿宋" w:hAnsi="仿宋" w:eastAsia="仿宋" w:cs="仿宋"/>
          <w:color w:val="auto"/>
          <w:spacing w:val="-6"/>
          <w:kern w:val="2"/>
          <w:sz w:val="32"/>
          <w:szCs w:val="32"/>
          <w:u w:val="none"/>
          <w:lang w:val="en-US" w:eastAsia="zh-CN" w:bidi="ar-SA"/>
        </w:rPr>
        <w:t>个百分点。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2023年，全市规模以上高技术制造业企业法人单位R&amp;D（全称研究与试验发展，以下简称R&amp;D）经费支出10.63亿元，比2018年增长29.6%；占规模以上制造业的15.0%，比2018年下降4.9个百分点。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default" w:ascii="Times New Roman" w:hAnsi="Times New Roman" w:eastAsia="方正仿宋_GBK" w:cs="Times New Roman"/>
          <w:color w:val="auto"/>
          <w:spacing w:val="-6"/>
          <w:kern w:val="2"/>
          <w:sz w:val="32"/>
          <w:szCs w:val="32"/>
          <w:highlight w:val="none"/>
          <w:u w:val="none"/>
          <w:lang w:val="en-US" w:eastAsia="zh-CN" w:bidi="ar-SA"/>
        </w:rPr>
      </w:pPr>
      <w:r>
        <w:rPr>
          <w:rFonts w:hint="eastAsia" w:ascii="仿宋" w:hAnsi="仿宋" w:eastAsia="仿宋" w:cs="仿宋"/>
          <w:color w:val="auto"/>
          <w:spacing w:val="-6"/>
          <w:kern w:val="2"/>
          <w:sz w:val="32"/>
          <w:szCs w:val="32"/>
          <w:highlight w:val="none"/>
          <w:u w:val="none"/>
          <w:lang w:val="en-US" w:eastAsia="zh-CN" w:bidi="ar-SA"/>
        </w:rPr>
        <w:t>2023年，规模以上高技术制造业企业法人单位全年专利申请量802件，其中发明专利申请206件，分别比2018年增长46.1%和40.1%；发明专利申请所占比重为25.7%，比规模以上制造业平均水平高5.7个百分点。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8" w:firstLineChars="200"/>
        <w:jc w:val="both"/>
        <w:textAlignment w:val="auto"/>
        <w:outlineLvl w:val="2"/>
        <w:rPr>
          <w:rFonts w:hint="eastAsia" w:ascii="楷体_GB2312" w:hAnsi="楷体_GB2312" w:eastAsia="楷体_GB2312" w:cs="楷体_GB2312"/>
          <w:b/>
          <w:bCs/>
          <w:color w:val="auto"/>
          <w:spacing w:val="-6"/>
          <w:kern w:val="2"/>
          <w:sz w:val="32"/>
          <w:szCs w:val="32"/>
          <w:u w:val="none"/>
          <w:lang w:val="en-US" w:eastAsia="zh-CN" w:bidi="ar-SA"/>
        </w:rPr>
      </w:pPr>
      <w:r>
        <w:rPr>
          <w:rFonts w:hint="eastAsia" w:ascii="楷体_GB2312" w:hAnsi="楷体_GB2312" w:eastAsia="楷体_GB2312" w:cs="楷体_GB2312"/>
          <w:b/>
          <w:bCs/>
          <w:color w:val="auto"/>
          <w:spacing w:val="-6"/>
          <w:kern w:val="2"/>
          <w:sz w:val="32"/>
          <w:szCs w:val="32"/>
          <w:u w:val="none"/>
          <w:lang w:val="en-US" w:eastAsia="zh-CN" w:bidi="ar-SA"/>
        </w:rPr>
        <w:t>（二）高技术服务业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规模以上高技术服务业企业法人单位54个，占规模以上服务业企业法人单位的15.1%。其中，信息服务17个，占规模以上高技术服务业企业法人单位的31.5%；专业技术服务业的高技术服务18个，占规模以上高技术服务业企业法人单位的33.3%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2023年，规模以上高技术服务业企业法人单位全年实现营业收入70.18亿元，占规模以上服务业企业法人单位营业收入的34.9%。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三、数字经济核心产业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2023年末，全市共有数字经济核心产业企业法人单位7108个，从业人员61035人。全年实现营业收入342.52亿元。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在数字经济核心产业企业法人单位中，数字产品制造业445个，占6.3%；数字产品服务业786个，占11.1%；数字技术应用业4272个，占60.1%；数字要素驱动业1605个，占22.6%。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在数字经济核心产业企业法人单位从业人员中，数字产品制造业14318人，占23.5%；数字产品服务业3647人，占6.0%；数字技术应用业29569人，占48.4%；数字要素驱动业13501人，占22.1%。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在数字经济核心产业企业法人单位营业收入中，数字产品制造业103.87亿元，占30.3%；数字产品服务业19.98亿元，占5.8%；数字技术应用业133.39亿元，占38.9%；数字要素驱动业85.28亿元，占24.9%。</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四、工业企业研究与试验发展活动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2023年，全市开展R&amp;D活动的规模以上工业企业法人单位702个，比2018年增长141.2%，占全部规模以上工业企业法人单位的34.2%。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2023年，全市规模以上工业企业法人单位R&amp;D人员折合全时当量17136人年，比2018年增长76.0%。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2023年，全市规模以上工业企业法人单位R&amp;D经费支出73.39亿元，比2018年增长77.7%。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w:t>
      </w:r>
      <w:r>
        <w:rPr>
          <w:rFonts w:hint="eastAsia" w:ascii="仿宋" w:hAnsi="仿宋" w:eastAsia="仿宋" w:cs="仿宋"/>
          <w:color w:val="auto"/>
          <w:spacing w:val="-6"/>
          <w:kern w:val="2"/>
          <w:sz w:val="32"/>
          <w:szCs w:val="32"/>
          <w:u w:val="none"/>
          <w:lang w:val="en" w:eastAsia="zh-CN" w:bidi="ar-SA"/>
        </w:rPr>
        <w:t>23</w:t>
      </w:r>
      <w:r>
        <w:rPr>
          <w:rFonts w:hint="eastAsia" w:ascii="仿宋" w:hAnsi="仿宋" w:eastAsia="仿宋" w:cs="仿宋"/>
          <w:color w:val="auto"/>
          <w:spacing w:val="-6"/>
          <w:kern w:val="2"/>
          <w:sz w:val="32"/>
          <w:szCs w:val="32"/>
          <w:u w:val="none"/>
          <w:lang w:val="en-US" w:eastAsia="zh-CN" w:bidi="ar-SA"/>
        </w:rPr>
        <w:t>年，全市规模以上工业企业法人单位全年专利申请量5030件，其中发明专利申请1015件，分别比2018年增长87.0%和27.4%；发明专利申请所占比重为20.2%，比2018年降低9.4个百分点。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outlineLvl w:val="1"/>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五、文化及相关产业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2023年末，全市共有文化及相关产业法人单位8029个，从业人员61490人，分别比2018年末增长67.5%和28.9%；资产总计254.51亿元，比2018年末增长4.4%。</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2023年末，全市共有经营性文化产业法人单位7632个，从业人员58960人，分别比2018年末增长71.5%和32.3%；资产总计214.9亿元，比2018年末降低8.4%；全年实现营业收入236.1</w:t>
      </w:r>
      <w:r>
        <w:rPr>
          <w:rFonts w:hint="default" w:ascii="仿宋" w:hAnsi="仿宋" w:eastAsia="仿宋" w:cs="仿宋"/>
          <w:color w:val="auto"/>
          <w:spacing w:val="-6"/>
          <w:kern w:val="2"/>
          <w:sz w:val="32"/>
          <w:szCs w:val="32"/>
          <w:u w:val="none"/>
          <w:lang w:val="en" w:eastAsia="zh-CN" w:bidi="ar-SA"/>
        </w:rPr>
        <w:t>8</w:t>
      </w:r>
      <w:r>
        <w:rPr>
          <w:rFonts w:hint="eastAsia" w:ascii="仿宋" w:hAnsi="仿宋" w:eastAsia="仿宋" w:cs="仿宋"/>
          <w:color w:val="auto"/>
          <w:spacing w:val="-6"/>
          <w:kern w:val="2"/>
          <w:sz w:val="32"/>
          <w:szCs w:val="32"/>
          <w:u w:val="none"/>
          <w:lang w:val="en-US" w:eastAsia="zh-CN" w:bidi="ar-SA"/>
        </w:rPr>
        <w:t>亿元，比2018年增长46.3%。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auto"/>
          <w:spacing w:val="-6"/>
          <w:kern w:val="2"/>
          <w:sz w:val="32"/>
          <w:szCs w:val="32"/>
          <w:u w:val="none"/>
          <w:lang w:val="en-US" w:eastAsia="zh-CN" w:bidi="ar-SA"/>
        </w:rPr>
      </w:pPr>
      <w:r>
        <w:rPr>
          <w:rFonts w:hint="eastAsia" w:ascii="仿宋" w:hAnsi="仿宋" w:eastAsia="仿宋" w:cs="仿宋"/>
          <w:color w:val="auto"/>
          <w:spacing w:val="-6"/>
          <w:kern w:val="2"/>
          <w:sz w:val="32"/>
          <w:szCs w:val="32"/>
          <w:u w:val="none"/>
          <w:lang w:val="en-US" w:eastAsia="zh-CN" w:bidi="ar-SA"/>
        </w:rPr>
        <w:t>2023年末，全市共有公益性文化事业（含社团）法人单位397个，从业人员2530人，分别比2018年末增长15.4%和降低18.6%；资产总计39.6亿元，比2018年末增长327.0%；本年支出（费用）3.34亿元，比2018年下降33.6%。</w:t>
      </w:r>
    </w:p>
    <w:p>
      <w:pPr>
        <w:keepNext w:val="0"/>
        <w:keepLines w:val="0"/>
        <w:pageBreakBefore w:val="0"/>
        <w:widowControl w:val="0"/>
        <w:kinsoku/>
        <w:wordWrap/>
        <w:overflowPunct/>
        <w:topLinePunct w:val="0"/>
        <w:autoSpaceDE/>
        <w:autoSpaceDN/>
        <w:bidi w:val="0"/>
        <w:adjustRightInd/>
        <w:spacing w:line="600" w:lineRule="exact"/>
        <w:rPr>
          <w:rFonts w:hint="eastAsia" w:ascii="Times New Roman" w:hAnsi="Times New Roman" w:eastAsia="黑体" w:cs="黑体"/>
          <w:b w:val="0"/>
          <w:bCs/>
          <w:i w:val="0"/>
          <w:caps w:val="0"/>
          <w:color w:val="auto"/>
          <w:spacing w:val="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pacing w:line="600" w:lineRule="exact"/>
        <w:rPr>
          <w:rFonts w:hint="eastAsia" w:ascii="Times New Roman" w:hAnsi="Times New Roman" w:eastAsia="方正仿宋_GBK" w:cs="仿宋_GB2312"/>
          <w:i w:val="0"/>
          <w:caps w:val="0"/>
          <w:color w:val="auto"/>
          <w:spacing w:val="0"/>
          <w:sz w:val="28"/>
          <w:szCs w:val="28"/>
          <w:highlight w:val="none"/>
        </w:rPr>
      </w:pPr>
      <w:r>
        <w:rPr>
          <w:rFonts w:hint="eastAsia" w:ascii="Times New Roman" w:hAnsi="Times New Roman" w:eastAsia="黑体" w:cs="黑体"/>
          <w:b w:val="0"/>
          <w:bCs/>
          <w:i w:val="0"/>
          <w:caps w:val="0"/>
          <w:color w:val="auto"/>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i w:val="0"/>
          <w:caps w:val="0"/>
          <w:color w:val="auto"/>
          <w:spacing w:val="0"/>
          <w:sz w:val="28"/>
          <w:szCs w:val="28"/>
          <w:highlight w:val="none"/>
        </w:rPr>
      </w:pPr>
      <w:r>
        <w:rPr>
          <w:rFonts w:hint="eastAsia" w:ascii="楷体" w:hAnsi="楷体" w:eastAsia="楷体" w:cs="楷体"/>
          <w:i w:val="0"/>
          <w:caps w:val="0"/>
          <w:color w:val="auto"/>
          <w:spacing w:val="0"/>
          <w:kern w:val="0"/>
          <w:sz w:val="28"/>
          <w:szCs w:val="28"/>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i w:val="0"/>
          <w:caps w:val="0"/>
          <w:color w:val="auto"/>
          <w:spacing w:val="0"/>
          <w:sz w:val="28"/>
          <w:szCs w:val="28"/>
          <w:highlight w:val="none"/>
        </w:rPr>
      </w:pPr>
      <w:r>
        <w:rPr>
          <w:rFonts w:hint="eastAsia" w:ascii="楷体" w:hAnsi="楷体" w:eastAsia="楷体" w:cs="楷体"/>
          <w:i w:val="0"/>
          <w:caps w:val="0"/>
          <w:color w:val="auto"/>
          <w:spacing w:val="0"/>
          <w:kern w:val="0"/>
          <w:sz w:val="28"/>
          <w:szCs w:val="28"/>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i w:val="0"/>
          <w:caps w:val="0"/>
          <w:color w:val="auto"/>
          <w:spacing w:val="0"/>
          <w:kern w:val="0"/>
          <w:sz w:val="28"/>
          <w:szCs w:val="28"/>
          <w:highlight w:val="none"/>
          <w:lang w:val="en-US" w:eastAsia="zh-CN" w:bidi="ar"/>
        </w:rPr>
      </w:pPr>
      <w:r>
        <w:rPr>
          <w:rFonts w:hint="eastAsia" w:ascii="楷体" w:hAnsi="楷体" w:eastAsia="楷体" w:cs="楷体"/>
          <w:i w:val="0"/>
          <w:caps w:val="0"/>
          <w:color w:val="auto"/>
          <w:spacing w:val="0"/>
          <w:kern w:val="0"/>
          <w:sz w:val="28"/>
          <w:szCs w:val="28"/>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i w:val="0"/>
          <w:caps w:val="0"/>
          <w:color w:val="auto"/>
          <w:spacing w:val="0"/>
          <w:sz w:val="28"/>
          <w:szCs w:val="28"/>
          <w:highlight w:val="none"/>
        </w:rPr>
      </w:pPr>
      <w:r>
        <w:rPr>
          <w:rFonts w:hint="eastAsia" w:ascii="楷体" w:hAnsi="楷体" w:eastAsia="楷体" w:cs="楷体"/>
          <w:i w:val="0"/>
          <w:caps w:val="0"/>
          <w:color w:val="auto"/>
          <w:spacing w:val="0"/>
          <w:kern w:val="0"/>
          <w:sz w:val="28"/>
          <w:szCs w:val="28"/>
          <w:highlight w:val="none"/>
          <w:lang w:val="en-US" w:eastAsia="zh-CN"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auto"/>
          <w:kern w:val="0"/>
          <w:sz w:val="28"/>
          <w:szCs w:val="28"/>
          <w:highlight w:val="none"/>
          <w:lang w:bidi="ar"/>
        </w:rPr>
      </w:pPr>
      <w:r>
        <w:rPr>
          <w:rFonts w:hint="eastAsia" w:ascii="楷体" w:hAnsi="楷体" w:eastAsia="楷体" w:cs="楷体"/>
          <w:i w:val="0"/>
          <w:caps w:val="0"/>
          <w:color w:val="auto"/>
          <w:spacing w:val="0"/>
          <w:kern w:val="0"/>
          <w:sz w:val="28"/>
          <w:szCs w:val="28"/>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eastAsia" w:ascii="楷体" w:hAnsi="楷体" w:eastAsia="楷体" w:cs="楷体"/>
          <w:color w:val="auto"/>
          <w:kern w:val="0"/>
          <w:sz w:val="28"/>
          <w:szCs w:val="28"/>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color w:val="auto"/>
          <w:kern w:val="0"/>
          <w:sz w:val="28"/>
          <w:szCs w:val="28"/>
          <w:highlight w:val="none"/>
          <w:lang w:eastAsia="zh-CN" w:bidi="ar"/>
        </w:rPr>
      </w:pPr>
      <w:r>
        <w:rPr>
          <w:rFonts w:hint="eastAsia" w:ascii="楷体" w:hAnsi="楷体" w:eastAsia="楷体" w:cs="楷体"/>
          <w:i w:val="0"/>
          <w:caps w:val="0"/>
          <w:color w:val="auto"/>
          <w:spacing w:val="0"/>
          <w:kern w:val="0"/>
          <w:sz w:val="28"/>
          <w:szCs w:val="28"/>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eastAsia" w:ascii="楷体" w:hAnsi="楷体" w:eastAsia="楷体" w:cs="楷体"/>
          <w:color w:val="auto"/>
          <w:kern w:val="0"/>
          <w:sz w:val="28"/>
          <w:szCs w:val="28"/>
          <w:highlight w:val="none"/>
          <w:lang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60" w:firstLineChars="200"/>
        <w:jc w:val="both"/>
        <w:textAlignment w:val="auto"/>
        <w:rPr>
          <w:rFonts w:hint="eastAsia" w:ascii="楷体" w:hAnsi="楷体" w:eastAsia="楷体" w:cs="楷体"/>
          <w:i w:val="0"/>
          <w:caps w:val="0"/>
          <w:color w:val="auto"/>
          <w:spacing w:val="0"/>
          <w:kern w:val="0"/>
          <w:sz w:val="28"/>
          <w:szCs w:val="28"/>
          <w:highlight w:val="none"/>
          <w:lang w:val="en-US" w:eastAsia="zh-CN" w:bidi="ar"/>
        </w:rPr>
      </w:pPr>
      <w:r>
        <w:rPr>
          <w:rFonts w:hint="eastAsia" w:ascii="楷体" w:hAnsi="楷体" w:eastAsia="楷体" w:cs="楷体"/>
          <w:i w:val="0"/>
          <w:caps w:val="0"/>
          <w:color w:val="auto"/>
          <w:spacing w:val="0"/>
          <w:kern w:val="0"/>
          <w:sz w:val="28"/>
          <w:szCs w:val="28"/>
          <w:highlight w:val="none"/>
          <w:lang w:val="en-US" w:eastAsia="zh-CN" w:bidi="ar"/>
        </w:rPr>
        <w:t>[7]研究与试验发展：是指为增加知识存量（也包括有关人类、文化和社会的知识）以及设计已有知识的新应用而进行的创造性、系统性工作，包括基础研究、应用研究和试验发展3种类型。</w:t>
      </w:r>
    </w:p>
    <w:p>
      <w:pPr>
        <w:pStyle w:val="16"/>
        <w:keepNext w:val="0"/>
        <w:keepLines w:val="0"/>
        <w:pageBreakBefore w:val="0"/>
        <w:widowControl w:val="0"/>
        <w:kinsoku/>
        <w:wordWrap/>
        <w:overflowPunct/>
        <w:topLinePunct w:val="0"/>
        <w:autoSpaceDE/>
        <w:autoSpaceDN/>
        <w:bidi w:val="0"/>
        <w:adjustRightInd/>
        <w:snapToGrid w:val="0"/>
        <w:spacing w:line="590" w:lineRule="exact"/>
        <w:ind w:firstLine="560" w:firstLineChars="200"/>
        <w:jc w:val="both"/>
        <w:textAlignment w:val="auto"/>
        <w:rPr>
          <w:rFonts w:hint="eastAsia" w:ascii="楷体" w:hAnsi="楷体" w:eastAsia="楷体" w:cs="楷体"/>
          <w:i w:val="0"/>
          <w:caps w:val="0"/>
          <w:color w:val="auto"/>
          <w:spacing w:val="0"/>
          <w:sz w:val="28"/>
          <w:szCs w:val="28"/>
          <w:highlight w:val="none"/>
        </w:rPr>
      </w:pPr>
      <w:r>
        <w:rPr>
          <w:rFonts w:hint="eastAsia" w:ascii="楷体" w:hAnsi="楷体" w:eastAsia="楷体" w:cs="楷体"/>
          <w:i w:val="0"/>
          <w:caps w:val="0"/>
          <w:color w:val="auto"/>
          <w:spacing w:val="0"/>
          <w:kern w:val="0"/>
          <w:sz w:val="28"/>
          <w:szCs w:val="28"/>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560" w:firstLineChars="200"/>
        <w:jc w:val="both"/>
        <w:textAlignment w:val="auto"/>
        <w:rPr>
          <w:rFonts w:hint="eastAsia" w:eastAsia="宋体"/>
          <w:color w:val="auto"/>
          <w:lang w:eastAsia="zh-CN"/>
        </w:rPr>
      </w:pPr>
      <w:r>
        <w:rPr>
          <w:rFonts w:hint="eastAsia" w:ascii="楷体" w:hAnsi="楷体" w:eastAsia="楷体" w:cs="楷体"/>
          <w:i w:val="0"/>
          <w:caps w:val="0"/>
          <w:color w:val="auto"/>
          <w:spacing w:val="0"/>
          <w:kern w:val="0"/>
          <w:sz w:val="28"/>
          <w:szCs w:val="28"/>
          <w:highlight w:val="none"/>
          <w:lang w:val="en-US" w:eastAsia="zh-CN" w:bidi="ar"/>
        </w:rPr>
        <w:t>[9]表中的合计数和部分计算数据因小数取舍而产生的误差，均未作机械调整。为保证数据精确度，个别数据保留2位小数。</w:t>
      </w:r>
    </w:p>
    <w:p>
      <w:pPr>
        <w:keepNext w:val="0"/>
        <w:keepLines w:val="0"/>
        <w:pageBreakBefore/>
        <w:widowControl w:val="0"/>
        <w:kinsoku/>
        <w:wordWrap/>
        <w:overflowPunct/>
        <w:topLinePunct w:val="0"/>
        <w:autoSpaceDE/>
        <w:autoSpaceDN/>
        <w:bidi w:val="0"/>
        <w:adjustRightInd w:val="0"/>
        <w:snapToGrid w:val="0"/>
        <w:spacing w:line="700" w:lineRule="exact"/>
        <w:ind w:left="0" w:firstLine="0" w:firstLineChars="0"/>
        <w:jc w:val="center"/>
        <w:textAlignment w:val="auto"/>
        <w:rPr>
          <w:rFonts w:hint="eastAsia" w:ascii="Times New Roman" w:hAnsi="Times New Roman" w:cs="Times New Roman"/>
          <w:color w:val="000000"/>
          <w:kern w:val="2"/>
          <w:sz w:val="36"/>
          <w:szCs w:val="36"/>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0"/>
        <w:rPr>
          <w:rFonts w:hint="eastAsia" w:ascii="Times New Roman" w:hAnsi="Times New Roman" w:eastAsia="方正小标宋_GBK" w:cs="Times New Roman"/>
          <w:bCs/>
          <w:color w:val="000000"/>
          <w:kern w:val="0"/>
          <w:sz w:val="44"/>
          <w:szCs w:val="44"/>
          <w:shd w:val="clear" w:color="auto" w:fill="FFFFFF"/>
          <w:lang w:val="en-US" w:eastAsia="zh-CN" w:bidi="ar"/>
        </w:rPr>
      </w:pPr>
      <w:r>
        <w:rPr>
          <w:rFonts w:hint="eastAsia" w:eastAsia="方正小标宋_GBK" w:cs="Times New Roman"/>
          <w:bCs/>
          <w:color w:val="000000"/>
          <w:kern w:val="0"/>
          <w:sz w:val="44"/>
          <w:szCs w:val="44"/>
          <w:shd w:val="clear" w:color="auto" w:fill="FFFFFF"/>
          <w:lang w:val="en-US" w:eastAsia="zh-CN" w:bidi="ar"/>
        </w:rPr>
        <w:t>新乡市</w:t>
      </w:r>
      <w:r>
        <w:rPr>
          <w:rFonts w:hint="eastAsia" w:ascii="Times New Roman" w:hAnsi="Times New Roman" w:eastAsia="方正小标宋_GBK" w:cs="Times New Roman"/>
          <w:bCs/>
          <w:color w:val="000000"/>
          <w:kern w:val="0"/>
          <w:sz w:val="44"/>
          <w:szCs w:val="44"/>
          <w:shd w:val="clear" w:color="auto" w:fill="FFFFFF"/>
          <w:lang w:val="en-US" w:eastAsia="zh-CN" w:bidi="ar"/>
        </w:rPr>
        <w:t>第五次全国经济普查公报（第七号）</w:t>
      </w:r>
    </w:p>
    <w:p>
      <w:pPr>
        <w:keepNext w:val="0"/>
        <w:keepLines w:val="0"/>
        <w:pageBreakBefore w:val="0"/>
        <w:widowControl w:val="0"/>
        <w:kinsoku/>
        <w:wordWrap/>
        <w:overflowPunct/>
        <w:topLinePunct w:val="0"/>
        <w:autoSpaceDE/>
        <w:autoSpaceDN/>
        <w:bidi w:val="0"/>
        <w:adjustRightInd w:val="0"/>
        <w:snapToGrid w:val="0"/>
        <w:spacing w:line="700" w:lineRule="exact"/>
        <w:ind w:left="0" w:firstLine="0" w:firstLineChars="0"/>
        <w:jc w:val="center"/>
        <w:textAlignment w:val="auto"/>
        <w:outlineLvl w:val="1"/>
        <w:rPr>
          <w:rFonts w:hint="eastAsia" w:ascii="Times New Roman" w:hAnsi="Times New Roman" w:eastAsia="方正小标宋_GBK" w:cs="Times New Roman"/>
          <w:bCs/>
          <w:color w:val="000000"/>
          <w:kern w:val="0"/>
          <w:sz w:val="48"/>
          <w:szCs w:val="48"/>
          <w:shd w:val="clear" w:color="auto" w:fill="FFFFFF"/>
          <w:lang w:val="en-US" w:eastAsia="zh-CN" w:bidi="ar"/>
        </w:rPr>
      </w:pPr>
      <w:r>
        <w:rPr>
          <w:rFonts w:hint="eastAsia" w:ascii="Times New Roman" w:hAnsi="Times New Roman" w:eastAsia="方正小标宋_GBK" w:cs="Times New Roman"/>
          <w:bCs/>
          <w:color w:val="000000"/>
          <w:kern w:val="0"/>
          <w:sz w:val="44"/>
          <w:szCs w:val="44"/>
          <w:shd w:val="clear" w:color="auto" w:fill="FFFFFF"/>
          <w:lang w:val="en-US" w:eastAsia="zh-CN" w:bidi="ar"/>
        </w:rPr>
        <w:t>——分区域单位和从业人员情况</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rPr>
          <w:rFonts w:hint="eastAsia" w:ascii="Times New Roman" w:hAnsi="Times New Roman" w:eastAsia="方正楷体_GBK" w:cs="方正楷体_GBK"/>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新乡市统计局</w:t>
      </w:r>
    </w:p>
    <w:p>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0" w:firstLineChars="0"/>
        <w:jc w:val="center"/>
        <w:textAlignment w:val="auto"/>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新乡市第五次全国经济普查领导小组办公室</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baseline"/>
        <w:outlineLvl w:val="0"/>
        <w:rPr>
          <w:rFonts w:hint="eastAsia" w:ascii="楷体" w:hAnsi="楷体" w:eastAsia="楷体" w:cs="楷体"/>
          <w:color w:val="000000"/>
          <w:sz w:val="32"/>
          <w:szCs w:val="32"/>
          <w:lang w:val="en-US" w:eastAsia="zh-CN"/>
        </w:rPr>
      </w:pPr>
      <w:r>
        <w:rPr>
          <w:rFonts w:hint="eastAsia" w:ascii="楷体" w:hAnsi="楷体" w:eastAsia="楷体" w:cs="楷体"/>
          <w:color w:val="000000"/>
          <w:kern w:val="2"/>
          <w:sz w:val="32"/>
          <w:szCs w:val="32"/>
          <w:lang w:val="en-US" w:eastAsia="zh-CN" w:bidi="ar-SA"/>
        </w:rPr>
        <w:t>（2025年5月28日）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Times New Roman" w:hAnsi="Times New Roman" w:cs="Times New Roman"/>
          <w:color w:val="000000"/>
          <w:kern w:val="2"/>
          <w:sz w:val="36"/>
          <w:szCs w:val="36"/>
          <w:u w:val="no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color w:val="000000"/>
          <w:spacing w:val="-6"/>
          <w:kern w:val="2"/>
          <w:sz w:val="32"/>
          <w:szCs w:val="32"/>
          <w:u w:val="none"/>
          <w:lang w:val="en-US" w:eastAsia="zh-CN" w:bidi="ar-SA"/>
        </w:rPr>
        <w:t>根据新乡市第五次全国经济普查结果，现将全市分区域的第二产业和第三产业单位及从业人员基本情况公布如下：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16" w:firstLineChars="200"/>
        <w:jc w:val="both"/>
        <w:textAlignment w:val="auto"/>
        <w:outlineLvl w:val="2"/>
        <w:rPr>
          <w:rFonts w:hint="eastAsia" w:ascii="黑体" w:hAnsi="黑体" w:eastAsia="黑体" w:cs="黑体"/>
          <w:b w:val="0"/>
          <w:bCs w:val="0"/>
          <w:color w:val="000000"/>
          <w:spacing w:val="-6"/>
          <w:kern w:val="2"/>
          <w:sz w:val="32"/>
          <w:szCs w:val="32"/>
          <w:u w:val="none"/>
          <w:lang w:val="en-US" w:eastAsia="zh-CN" w:bidi="ar-SA"/>
        </w:rPr>
      </w:pPr>
      <w:r>
        <w:rPr>
          <w:rFonts w:hint="eastAsia" w:ascii="黑体" w:hAnsi="黑体" w:eastAsia="黑体" w:cs="黑体"/>
          <w:b w:val="0"/>
          <w:bCs w:val="0"/>
          <w:color w:val="000000"/>
          <w:spacing w:val="-6"/>
          <w:kern w:val="2"/>
          <w:sz w:val="32"/>
          <w:szCs w:val="32"/>
          <w:u w:val="none"/>
          <w:lang w:val="en-US" w:eastAsia="zh-CN" w:bidi="ar-SA"/>
        </w:rPr>
        <w:t>一、单位情况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pacing w:val="-6"/>
          <w:kern w:val="2"/>
          <w:sz w:val="32"/>
          <w:szCs w:val="32"/>
          <w:u w:val="none"/>
          <w:lang w:val="en-US" w:eastAsia="zh-CN" w:bidi="ar-SA"/>
        </w:rPr>
      </w:pPr>
      <w:r>
        <w:rPr>
          <w:rFonts w:hint="eastAsia" w:ascii="仿宋" w:hAnsi="仿宋" w:eastAsia="仿宋" w:cs="仿宋"/>
          <w:i w:val="0"/>
          <w:caps w:val="0"/>
          <w:color w:val="000000"/>
          <w:spacing w:val="0"/>
          <w:kern w:val="0"/>
          <w:sz w:val="32"/>
          <w:szCs w:val="32"/>
          <w:shd w:val="clear" w:color="auto" w:fill="FFFFFF"/>
          <w:lang w:val="en-US" w:eastAsia="zh-CN" w:bidi="ar"/>
        </w:rPr>
        <w:t>20</w:t>
      </w:r>
      <w:r>
        <w:rPr>
          <w:rFonts w:hint="eastAsia" w:ascii="仿宋" w:hAnsi="仿宋" w:eastAsia="仿宋" w:cs="仿宋"/>
          <w:i w:val="0"/>
          <w:caps w:val="0"/>
          <w:color w:val="000000"/>
          <w:spacing w:val="0"/>
          <w:kern w:val="0"/>
          <w:sz w:val="32"/>
          <w:szCs w:val="32"/>
          <w:shd w:val="clear" w:color="auto" w:fill="FFFFFF"/>
          <w:lang w:val="en" w:eastAsia="zh-CN" w:bidi="ar"/>
        </w:rPr>
        <w:t>23</w:t>
      </w:r>
      <w:r>
        <w:rPr>
          <w:rFonts w:hint="eastAsia" w:ascii="仿宋" w:hAnsi="仿宋" w:eastAsia="仿宋" w:cs="仿宋"/>
          <w:i w:val="0"/>
          <w:caps w:val="0"/>
          <w:color w:val="000000"/>
          <w:spacing w:val="0"/>
          <w:kern w:val="0"/>
          <w:sz w:val="32"/>
          <w:szCs w:val="32"/>
          <w:shd w:val="clear" w:color="auto" w:fill="FFFFFF"/>
          <w:lang w:val="en-US" w:eastAsia="zh-CN" w:bidi="ar"/>
        </w:rPr>
        <w:t>年末，全市共有从事第二产业和第三产业活动的法人单位</w:t>
      </w:r>
      <w:r>
        <w:rPr>
          <w:rFonts w:hint="eastAsia" w:ascii="仿宋" w:hAnsi="仿宋" w:eastAsia="仿宋" w:cs="仿宋"/>
          <w:i w:val="0"/>
          <w:caps w:val="0"/>
          <w:color w:val="000000"/>
          <w:spacing w:val="0"/>
          <w:kern w:val="0"/>
          <w:sz w:val="32"/>
          <w:szCs w:val="32"/>
          <w:shd w:val="clear" w:color="auto" w:fill="FFFFFF"/>
          <w:lang w:val="en" w:eastAsia="zh-CN" w:bidi="ar"/>
        </w:rPr>
        <w:t>1283</w:t>
      </w:r>
      <w:r>
        <w:rPr>
          <w:rFonts w:hint="eastAsia" w:ascii="仿宋" w:hAnsi="仿宋" w:eastAsia="仿宋" w:cs="仿宋"/>
          <w:i w:val="0"/>
          <w:caps w:val="0"/>
          <w:color w:val="000000"/>
          <w:spacing w:val="0"/>
          <w:kern w:val="0"/>
          <w:sz w:val="32"/>
          <w:szCs w:val="32"/>
          <w:shd w:val="clear" w:color="auto" w:fill="FFFFFF"/>
          <w:lang w:val="en-US" w:eastAsia="zh-CN" w:bidi="ar"/>
        </w:rPr>
        <w:t>70个。位居前三位的县（市、区）是：长垣市</w:t>
      </w:r>
      <w:r>
        <w:rPr>
          <w:rFonts w:hint="eastAsia" w:ascii="仿宋" w:hAnsi="仿宋" w:eastAsia="仿宋" w:cs="仿宋"/>
          <w:i w:val="0"/>
          <w:caps w:val="0"/>
          <w:color w:val="000000"/>
          <w:spacing w:val="0"/>
          <w:kern w:val="0"/>
          <w:sz w:val="32"/>
          <w:szCs w:val="32"/>
          <w:shd w:val="clear" w:color="auto" w:fill="FFFFFF"/>
          <w:lang w:val="en" w:eastAsia="zh-CN" w:bidi="ar"/>
        </w:rPr>
        <w:t>24552</w:t>
      </w:r>
      <w:r>
        <w:rPr>
          <w:rFonts w:hint="eastAsia" w:ascii="仿宋" w:hAnsi="仿宋" w:eastAsia="仿宋" w:cs="仿宋"/>
          <w:i w:val="0"/>
          <w:caps w:val="0"/>
          <w:color w:val="000000"/>
          <w:spacing w:val="0"/>
          <w:kern w:val="0"/>
          <w:sz w:val="32"/>
          <w:szCs w:val="32"/>
          <w:shd w:val="clear" w:color="auto" w:fill="FFFFFF"/>
          <w:lang w:val="en-US" w:eastAsia="zh-CN" w:bidi="ar"/>
        </w:rPr>
        <w:t>个，占</w:t>
      </w:r>
      <w:r>
        <w:rPr>
          <w:rFonts w:hint="eastAsia" w:ascii="仿宋" w:hAnsi="仿宋" w:eastAsia="仿宋" w:cs="仿宋"/>
          <w:i w:val="0"/>
          <w:caps w:val="0"/>
          <w:color w:val="000000"/>
          <w:spacing w:val="0"/>
          <w:kern w:val="0"/>
          <w:sz w:val="32"/>
          <w:szCs w:val="32"/>
          <w:shd w:val="clear" w:color="auto" w:fill="FFFFFF"/>
          <w:lang w:val="en" w:eastAsia="zh-CN" w:bidi="ar"/>
        </w:rPr>
        <w:t>19.1</w:t>
      </w:r>
      <w:r>
        <w:rPr>
          <w:rFonts w:hint="eastAsia" w:ascii="仿宋" w:hAnsi="仿宋" w:eastAsia="仿宋" w:cs="仿宋"/>
          <w:i w:val="0"/>
          <w:caps w:val="0"/>
          <w:color w:val="000000"/>
          <w:spacing w:val="0"/>
          <w:kern w:val="0"/>
          <w:sz w:val="32"/>
          <w:szCs w:val="32"/>
          <w:shd w:val="clear" w:color="auto" w:fill="FFFFFF"/>
          <w:lang w:val="en-US" w:eastAsia="zh-CN" w:bidi="ar"/>
        </w:rPr>
        <w:t>%；红旗区</w:t>
      </w:r>
      <w:r>
        <w:rPr>
          <w:rFonts w:hint="eastAsia" w:ascii="仿宋" w:hAnsi="仿宋" w:eastAsia="仿宋" w:cs="仿宋"/>
          <w:i w:val="0"/>
          <w:caps w:val="0"/>
          <w:color w:val="000000"/>
          <w:spacing w:val="0"/>
          <w:kern w:val="0"/>
          <w:sz w:val="32"/>
          <w:szCs w:val="32"/>
          <w:shd w:val="clear" w:color="auto" w:fill="FFFFFF"/>
          <w:lang w:val="en" w:eastAsia="zh-CN" w:bidi="ar"/>
        </w:rPr>
        <w:t>13982</w:t>
      </w:r>
      <w:r>
        <w:rPr>
          <w:rFonts w:hint="eastAsia" w:ascii="仿宋" w:hAnsi="仿宋" w:eastAsia="仿宋" w:cs="仿宋"/>
          <w:i w:val="0"/>
          <w:caps w:val="0"/>
          <w:color w:val="000000"/>
          <w:spacing w:val="0"/>
          <w:kern w:val="0"/>
          <w:sz w:val="32"/>
          <w:szCs w:val="32"/>
          <w:shd w:val="clear" w:color="auto" w:fill="FFFFFF"/>
          <w:lang w:val="en-US" w:eastAsia="zh-CN" w:bidi="ar"/>
        </w:rPr>
        <w:t>个，占1</w:t>
      </w:r>
      <w:r>
        <w:rPr>
          <w:rFonts w:hint="eastAsia" w:ascii="仿宋" w:hAnsi="仿宋" w:eastAsia="仿宋" w:cs="仿宋"/>
          <w:i w:val="0"/>
          <w:caps w:val="0"/>
          <w:color w:val="000000"/>
          <w:spacing w:val="0"/>
          <w:kern w:val="0"/>
          <w:sz w:val="32"/>
          <w:szCs w:val="32"/>
          <w:shd w:val="clear" w:color="auto" w:fill="FFFFFF"/>
          <w:lang w:val="en" w:eastAsia="zh-CN" w:bidi="ar"/>
        </w:rPr>
        <w:t>0.9</w:t>
      </w:r>
      <w:r>
        <w:rPr>
          <w:rFonts w:hint="eastAsia" w:ascii="仿宋" w:hAnsi="仿宋" w:eastAsia="仿宋" w:cs="仿宋"/>
          <w:i w:val="0"/>
          <w:caps w:val="0"/>
          <w:color w:val="000000"/>
          <w:spacing w:val="0"/>
          <w:kern w:val="0"/>
          <w:sz w:val="32"/>
          <w:szCs w:val="32"/>
          <w:shd w:val="clear" w:color="auto" w:fill="FFFFFF"/>
          <w:lang w:val="en-US" w:eastAsia="zh-CN" w:bidi="ar"/>
        </w:rPr>
        <w:t>%；辉县市</w:t>
      </w:r>
      <w:r>
        <w:rPr>
          <w:rFonts w:hint="eastAsia" w:ascii="仿宋" w:hAnsi="仿宋" w:eastAsia="仿宋" w:cs="仿宋"/>
          <w:i w:val="0"/>
          <w:caps w:val="0"/>
          <w:color w:val="000000"/>
          <w:spacing w:val="0"/>
          <w:kern w:val="0"/>
          <w:sz w:val="32"/>
          <w:szCs w:val="32"/>
          <w:shd w:val="clear" w:color="auto" w:fill="FFFFFF"/>
          <w:lang w:val="en" w:eastAsia="zh-CN" w:bidi="ar"/>
        </w:rPr>
        <w:t>1309</w:t>
      </w:r>
      <w:r>
        <w:rPr>
          <w:rFonts w:hint="eastAsia" w:ascii="仿宋" w:hAnsi="仿宋" w:eastAsia="仿宋" w:cs="仿宋"/>
          <w:i w:val="0"/>
          <w:caps w:val="0"/>
          <w:color w:val="000000"/>
          <w:spacing w:val="0"/>
          <w:kern w:val="0"/>
          <w:sz w:val="32"/>
          <w:szCs w:val="32"/>
          <w:shd w:val="clear" w:color="auto" w:fill="FFFFFF"/>
          <w:lang w:val="en-US" w:eastAsia="zh-CN" w:bidi="ar"/>
        </w:rPr>
        <w:t>3个，占</w:t>
      </w:r>
      <w:r>
        <w:rPr>
          <w:rFonts w:hint="eastAsia" w:ascii="仿宋" w:hAnsi="仿宋" w:eastAsia="仿宋" w:cs="仿宋"/>
          <w:i w:val="0"/>
          <w:caps w:val="0"/>
          <w:color w:val="000000"/>
          <w:spacing w:val="0"/>
          <w:kern w:val="0"/>
          <w:sz w:val="32"/>
          <w:szCs w:val="32"/>
          <w:shd w:val="clear" w:color="auto" w:fill="FFFFFF"/>
          <w:lang w:val="en" w:eastAsia="zh-CN" w:bidi="ar"/>
        </w:rPr>
        <w:t>10</w:t>
      </w:r>
      <w:r>
        <w:rPr>
          <w:rFonts w:hint="eastAsia" w:ascii="仿宋" w:hAnsi="仿宋" w:eastAsia="仿宋" w:cs="仿宋"/>
          <w:i w:val="0"/>
          <w:caps w:val="0"/>
          <w:color w:val="000000"/>
          <w:spacing w:val="0"/>
          <w:kern w:val="0"/>
          <w:sz w:val="32"/>
          <w:szCs w:val="32"/>
          <w:shd w:val="clear" w:color="auto" w:fill="FFFFFF"/>
          <w:lang w:val="en-US" w:eastAsia="zh-CN" w:bidi="ar"/>
        </w:rPr>
        <w:t>.</w:t>
      </w:r>
      <w:r>
        <w:rPr>
          <w:rFonts w:hint="eastAsia" w:ascii="仿宋" w:hAnsi="仿宋" w:eastAsia="仿宋" w:cs="仿宋"/>
          <w:i w:val="0"/>
          <w:caps w:val="0"/>
          <w:color w:val="000000"/>
          <w:spacing w:val="0"/>
          <w:kern w:val="0"/>
          <w:sz w:val="32"/>
          <w:szCs w:val="32"/>
          <w:shd w:val="clear" w:color="auto" w:fill="FFFFFF"/>
          <w:lang w:val="en" w:eastAsia="zh-CN" w:bidi="ar"/>
        </w:rPr>
        <w:t>2</w:t>
      </w:r>
      <w:r>
        <w:rPr>
          <w:rFonts w:hint="eastAsia" w:ascii="仿宋" w:hAnsi="仿宋" w:eastAsia="仿宋" w:cs="仿宋"/>
          <w:i w:val="0"/>
          <w:caps w:val="0"/>
          <w:color w:val="000000"/>
          <w:spacing w:val="0"/>
          <w:kern w:val="0"/>
          <w:sz w:val="32"/>
          <w:szCs w:val="32"/>
          <w:shd w:val="clear" w:color="auto" w:fill="FFFFFF"/>
          <w:lang w:val="en-US" w:eastAsia="zh-CN" w:bidi="ar"/>
        </w:rPr>
        <w:t>%。共有从事第二产业和第三产业活动的</w:t>
      </w:r>
      <w:r>
        <w:rPr>
          <w:rFonts w:hint="eastAsia" w:ascii="仿宋" w:hAnsi="仿宋" w:eastAsia="仿宋" w:cs="仿宋"/>
          <w:i w:val="0"/>
          <w:caps w:val="0"/>
          <w:color w:val="000000"/>
          <w:spacing w:val="0"/>
          <w:kern w:val="0"/>
          <w:sz w:val="32"/>
          <w:szCs w:val="32"/>
          <w:lang w:val="en-US" w:eastAsia="zh-CN" w:bidi="ar"/>
        </w:rPr>
        <w:t>产业活动单位</w:t>
      </w:r>
      <w:r>
        <w:rPr>
          <w:rFonts w:hint="eastAsia" w:ascii="仿宋" w:hAnsi="仿宋" w:eastAsia="仿宋" w:cs="仿宋"/>
          <w:i w:val="0"/>
          <w:caps w:val="0"/>
          <w:color w:val="000000"/>
          <w:spacing w:val="0"/>
          <w:kern w:val="0"/>
          <w:sz w:val="32"/>
          <w:szCs w:val="32"/>
          <w:lang w:val="en" w:eastAsia="zh-CN" w:bidi="ar"/>
        </w:rPr>
        <w:t>139</w:t>
      </w:r>
      <w:r>
        <w:rPr>
          <w:rFonts w:hint="eastAsia" w:ascii="仿宋" w:hAnsi="仿宋" w:eastAsia="仿宋" w:cs="仿宋"/>
          <w:i w:val="0"/>
          <w:caps w:val="0"/>
          <w:color w:val="000000"/>
          <w:spacing w:val="0"/>
          <w:kern w:val="0"/>
          <w:sz w:val="32"/>
          <w:szCs w:val="32"/>
          <w:lang w:val="en-US" w:eastAsia="zh-CN" w:bidi="ar"/>
        </w:rPr>
        <w:t>301个。按</w:t>
      </w:r>
      <w:r>
        <w:rPr>
          <w:rFonts w:hint="eastAsia" w:ascii="仿宋" w:hAnsi="仿宋" w:eastAsia="仿宋" w:cs="仿宋"/>
          <w:i w:val="0"/>
          <w:caps w:val="0"/>
          <w:color w:val="000000"/>
          <w:spacing w:val="0"/>
          <w:kern w:val="0"/>
          <w:sz w:val="32"/>
          <w:szCs w:val="32"/>
          <w:shd w:val="clear" w:color="auto" w:fill="FFFFFF"/>
          <w:lang w:val="en-US" w:eastAsia="zh-CN" w:bidi="ar"/>
        </w:rPr>
        <w:t>县（市、区）</w:t>
      </w:r>
      <w:r>
        <w:rPr>
          <w:rFonts w:hint="eastAsia" w:ascii="仿宋" w:hAnsi="仿宋" w:eastAsia="仿宋" w:cs="仿宋"/>
          <w:color w:val="000000"/>
          <w:spacing w:val="-6"/>
          <w:kern w:val="2"/>
          <w:sz w:val="32"/>
          <w:szCs w:val="32"/>
          <w:u w:val="none"/>
          <w:lang w:val="en-US" w:eastAsia="zh-CN" w:bidi="ar-SA"/>
        </w:rPr>
        <w:t>分组的单位情况详见表7-1。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center"/>
        <w:textAlignment w:val="auto"/>
        <w:rPr>
          <w:rFonts w:hint="eastAsia" w:ascii="Times New Roman" w:hAnsi="Times New Roman" w:eastAsia="宋体" w:cs="宋体"/>
          <w:i w:val="0"/>
          <w:caps w:val="0"/>
          <w:color w:val="000000"/>
          <w:spacing w:val="0"/>
          <w:sz w:val="24"/>
          <w:szCs w:val="24"/>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表7-1　按</w:t>
      </w:r>
      <w:r>
        <w:rPr>
          <w:rFonts w:hint="eastAsia" w:cs="宋体"/>
          <w:b/>
          <w:i w:val="0"/>
          <w:caps w:val="0"/>
          <w:color w:val="000000"/>
          <w:spacing w:val="0"/>
          <w:kern w:val="0"/>
          <w:sz w:val="24"/>
          <w:szCs w:val="24"/>
          <w:highlight w:val="none"/>
          <w:lang w:val="en-US" w:eastAsia="zh-CN" w:bidi="ar"/>
        </w:rPr>
        <w:t>县（市、区）</w:t>
      </w:r>
      <w:r>
        <w:rPr>
          <w:rFonts w:hint="eastAsia" w:ascii="Times New Roman" w:hAnsi="Times New Roman" w:eastAsia="宋体" w:cs="宋体"/>
          <w:b/>
          <w:i w:val="0"/>
          <w:caps w:val="0"/>
          <w:color w:val="000000"/>
          <w:spacing w:val="0"/>
          <w:kern w:val="0"/>
          <w:sz w:val="24"/>
          <w:szCs w:val="24"/>
          <w:highlight w:val="none"/>
          <w:lang w:val="en-US" w:eastAsia="zh-CN" w:bidi="ar"/>
        </w:rPr>
        <w:t>分组的法人单位数和产业活动单位</w:t>
      </w:r>
      <w:r>
        <w:rPr>
          <w:rFonts w:hint="eastAsia" w:eastAsia="宋体" w:cs="宋体"/>
          <w:b/>
          <w:i w:val="0"/>
          <w:caps w:val="0"/>
          <w:color w:val="000000"/>
          <w:spacing w:val="0"/>
          <w:kern w:val="0"/>
          <w:sz w:val="24"/>
          <w:szCs w:val="24"/>
          <w:highlight w:val="none"/>
          <w:lang w:val="en-US" w:eastAsia="zh-CN" w:bidi="ar"/>
        </w:rPr>
        <w:t>数</w:t>
      </w:r>
    </w:p>
    <w:tbl>
      <w:tblPr>
        <w:tblStyle w:val="22"/>
        <w:tblW w:w="5001" w:type="pct"/>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0" w:type="dxa"/>
          <w:bottom w:w="0" w:type="dxa"/>
          <w:right w:w="0" w:type="dxa"/>
        </w:tblCellMar>
      </w:tblPr>
      <w:tblGrid>
        <w:gridCol w:w="2997"/>
        <w:gridCol w:w="1326"/>
        <w:gridCol w:w="1328"/>
        <w:gridCol w:w="1326"/>
        <w:gridCol w:w="1331"/>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62" w:hRule="atLeast"/>
          <w:jc w:val="center"/>
        </w:trPr>
        <w:tc>
          <w:tcPr>
            <w:tcW w:w="1803" w:type="pct"/>
            <w:vMerge w:val="restart"/>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color w:val="000000"/>
                <w:sz w:val="21"/>
                <w:szCs w:val="21"/>
                <w:highlight w:val="none"/>
              </w:rPr>
            </w:pPr>
          </w:p>
        </w:tc>
        <w:tc>
          <w:tcPr>
            <w:tcW w:w="1597" w:type="pct"/>
            <w:gridSpan w:val="2"/>
            <w:tcBorders>
              <w:bottom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法人单位</w:t>
            </w:r>
          </w:p>
        </w:tc>
        <w:tc>
          <w:tcPr>
            <w:tcW w:w="1599" w:type="pct"/>
            <w:gridSpan w:val="2"/>
            <w:tcBorders>
              <w:bottom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产业活动单位</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442" w:hRule="atLeast"/>
          <w:jc w:val="center"/>
        </w:trPr>
        <w:tc>
          <w:tcPr>
            <w:tcW w:w="1803" w:type="pct"/>
            <w:vMerge w:val="continue"/>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 w:val="21"/>
                <w:szCs w:val="21"/>
                <w:highlight w:val="none"/>
              </w:rPr>
            </w:pPr>
          </w:p>
        </w:tc>
        <w:tc>
          <w:tcPr>
            <w:tcW w:w="798" w:type="pct"/>
            <w:tcBorders>
              <w:top w:val="single" w:color="auto" w:sz="4" w:space="0"/>
              <w:bottom w:val="single" w:color="auto" w:sz="12"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数量（个）</w:t>
            </w:r>
          </w:p>
        </w:tc>
        <w:tc>
          <w:tcPr>
            <w:tcW w:w="799" w:type="pct"/>
            <w:tcBorders>
              <w:top w:val="single" w:color="auto" w:sz="4" w:space="0"/>
              <w:bottom w:val="single" w:color="auto" w:sz="12"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比重（%）</w:t>
            </w:r>
          </w:p>
        </w:tc>
        <w:tc>
          <w:tcPr>
            <w:tcW w:w="798" w:type="pct"/>
            <w:tcBorders>
              <w:top w:val="single" w:color="auto" w:sz="4" w:space="0"/>
              <w:bottom w:val="single" w:color="auto" w:sz="12"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数量（个）</w:t>
            </w:r>
          </w:p>
        </w:tc>
        <w:tc>
          <w:tcPr>
            <w:tcW w:w="801" w:type="pct"/>
            <w:tcBorders>
              <w:top w:val="single" w:color="auto" w:sz="4" w:space="0"/>
              <w:bottom w:val="single" w:color="auto" w:sz="12"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比重（%）</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op w:val="single" w:color="auto" w:sz="12" w:space="0"/>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kern w:val="0"/>
                <w:sz w:val="21"/>
                <w:szCs w:val="21"/>
                <w:highlight w:val="none"/>
                <w:lang w:val="en-US" w:eastAsia="zh-CN" w:bidi="ar"/>
              </w:rPr>
              <w:t>合　计</w:t>
            </w:r>
          </w:p>
        </w:tc>
        <w:tc>
          <w:tcPr>
            <w:tcW w:w="798" w:type="pct"/>
            <w:tcBorders>
              <w:top w:val="single" w:color="auto" w:sz="12" w:space="0"/>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1283</w:t>
            </w:r>
            <w:r>
              <w:rPr>
                <w:rFonts w:hint="eastAsia" w:ascii="宋体" w:hAnsi="宋体" w:cs="宋体"/>
                <w:i w:val="0"/>
                <w:color w:val="000000"/>
                <w:kern w:val="0"/>
                <w:sz w:val="21"/>
                <w:szCs w:val="21"/>
                <w:u w:val="none"/>
                <w:lang w:val="en-US" w:eastAsia="zh-CN" w:bidi="ar"/>
              </w:rPr>
              <w:t>70</w:t>
            </w:r>
          </w:p>
        </w:tc>
        <w:tc>
          <w:tcPr>
            <w:tcW w:w="799" w:type="pct"/>
            <w:tcBorders>
              <w:top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宋体" w:hAnsi="宋体" w:eastAsia="宋体" w:cs="宋体"/>
                <w:b/>
                <w:bCs/>
                <w:i w:val="0"/>
                <w:color w:val="000000"/>
                <w:kern w:val="2"/>
                <w:sz w:val="21"/>
                <w:szCs w:val="21"/>
                <w:highlight w:val="none"/>
                <w:u w:val="none"/>
                <w:lang w:val="en-US" w:eastAsia="zh-CN" w:bidi="ar-SA"/>
              </w:rPr>
            </w:pPr>
            <w:r>
              <w:rPr>
                <w:rFonts w:hint="eastAsia" w:ascii="宋体" w:hAnsi="宋体" w:eastAsia="宋体" w:cs="宋体"/>
                <w:b/>
                <w:bCs/>
                <w:i w:val="0"/>
                <w:color w:val="000000"/>
                <w:kern w:val="2"/>
                <w:sz w:val="21"/>
                <w:szCs w:val="21"/>
                <w:highlight w:val="none"/>
                <w:u w:val="none"/>
                <w:lang w:val="en" w:eastAsia="zh-CN" w:bidi="ar-SA"/>
              </w:rPr>
              <w:t>100</w:t>
            </w:r>
            <w:r>
              <w:rPr>
                <w:rFonts w:hint="eastAsia" w:ascii="宋体" w:hAnsi="宋体" w:cs="宋体"/>
                <w:b/>
                <w:bCs/>
                <w:i w:val="0"/>
                <w:color w:val="000000"/>
                <w:kern w:val="2"/>
                <w:sz w:val="21"/>
                <w:szCs w:val="21"/>
                <w:highlight w:val="none"/>
                <w:u w:val="none"/>
                <w:lang w:val="en-US" w:eastAsia="zh-CN" w:bidi="ar-SA"/>
              </w:rPr>
              <w:t>.0</w:t>
            </w:r>
          </w:p>
        </w:tc>
        <w:tc>
          <w:tcPr>
            <w:tcW w:w="798" w:type="pct"/>
            <w:tcBorders>
              <w:top w:val="single" w:color="auto" w:sz="12" w:space="0"/>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139</w:t>
            </w:r>
            <w:r>
              <w:rPr>
                <w:rFonts w:hint="eastAsia" w:ascii="宋体" w:hAnsi="宋体" w:cs="宋体"/>
                <w:i w:val="0"/>
                <w:color w:val="000000"/>
                <w:kern w:val="0"/>
                <w:sz w:val="21"/>
                <w:szCs w:val="21"/>
                <w:u w:val="none"/>
                <w:lang w:val="en-US" w:eastAsia="zh-CN" w:bidi="ar"/>
              </w:rPr>
              <w:t>301</w:t>
            </w:r>
          </w:p>
        </w:tc>
        <w:tc>
          <w:tcPr>
            <w:tcW w:w="801" w:type="pct"/>
            <w:tcBorders>
              <w:top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宋体" w:hAnsi="宋体" w:eastAsia="宋体" w:cs="宋体"/>
                <w:b/>
                <w:bCs/>
                <w:i w:val="0"/>
                <w:color w:val="000000"/>
                <w:kern w:val="2"/>
                <w:sz w:val="21"/>
                <w:szCs w:val="21"/>
                <w:highlight w:val="none"/>
                <w:u w:val="none"/>
                <w:lang w:val="en-US" w:eastAsia="zh-CN" w:bidi="ar-SA"/>
              </w:rPr>
            </w:pPr>
            <w:r>
              <w:rPr>
                <w:rFonts w:hint="eastAsia" w:ascii="宋体" w:hAnsi="宋体" w:eastAsia="宋体" w:cs="宋体"/>
                <w:b/>
                <w:bCs/>
                <w:i w:val="0"/>
                <w:color w:val="000000"/>
                <w:kern w:val="2"/>
                <w:sz w:val="21"/>
                <w:szCs w:val="21"/>
                <w:highlight w:val="none"/>
                <w:u w:val="none"/>
                <w:lang w:val="en" w:eastAsia="zh-CN" w:bidi="ar-SA"/>
              </w:rPr>
              <w:t>100</w:t>
            </w:r>
            <w:r>
              <w:rPr>
                <w:rFonts w:hint="eastAsia" w:ascii="宋体" w:hAnsi="宋体" w:cs="宋体"/>
                <w:b/>
                <w:bCs/>
                <w:i w:val="0"/>
                <w:color w:val="000000"/>
                <w:kern w:val="2"/>
                <w:sz w:val="21"/>
                <w:szCs w:val="21"/>
                <w:highlight w:val="none"/>
                <w:u w:val="none"/>
                <w:lang w:val="en-US" w:eastAsia="zh-CN" w:bidi="ar-SA"/>
              </w:rPr>
              <w:t>.0</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红旗区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13982</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10.9</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15164</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10.9</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卫滨区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7263</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5.7</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7670</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5.5</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凤泉区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3459</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2.7</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3716</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2.7</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牧野区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583</w:t>
            </w:r>
            <w:r>
              <w:rPr>
                <w:rFonts w:hint="eastAsia" w:ascii="宋体" w:hAnsi="宋体" w:cs="宋体"/>
                <w:i w:val="0"/>
                <w:color w:val="000000"/>
                <w:kern w:val="0"/>
                <w:sz w:val="21"/>
                <w:szCs w:val="21"/>
                <w:u w:val="none"/>
                <w:lang w:val="en-US" w:eastAsia="zh-CN" w:bidi="ar"/>
              </w:rPr>
              <w:t>6</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4.5</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6351</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4.6</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新乡县</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735</w:t>
            </w:r>
            <w:r>
              <w:rPr>
                <w:rFonts w:hint="eastAsia" w:ascii="宋体" w:hAnsi="宋体" w:cs="宋体"/>
                <w:i w:val="0"/>
                <w:color w:val="000000"/>
                <w:kern w:val="0"/>
                <w:sz w:val="21"/>
                <w:szCs w:val="21"/>
                <w:u w:val="none"/>
                <w:lang w:val="en-US" w:eastAsia="zh-CN" w:bidi="ar"/>
              </w:rPr>
              <w:t>8</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5.7</w:t>
            </w:r>
          </w:p>
        </w:tc>
        <w:tc>
          <w:tcPr>
            <w:tcW w:w="798" w:type="pct"/>
            <w:tcBorders>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7900</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5.7</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获嘉县</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838</w:t>
            </w:r>
            <w:r>
              <w:rPr>
                <w:rFonts w:hint="eastAsia" w:ascii="宋体" w:hAnsi="宋体" w:cs="宋体"/>
                <w:i w:val="0"/>
                <w:color w:val="000000"/>
                <w:kern w:val="0"/>
                <w:sz w:val="21"/>
                <w:szCs w:val="21"/>
                <w:u w:val="none"/>
                <w:lang w:val="en-US" w:eastAsia="zh-CN" w:bidi="ar"/>
              </w:rPr>
              <w:t>4</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6.5</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919</w:t>
            </w:r>
            <w:r>
              <w:rPr>
                <w:rFonts w:hint="eastAsia" w:ascii="宋体" w:hAnsi="宋体" w:cs="宋体"/>
                <w:i w:val="0"/>
                <w:color w:val="000000"/>
                <w:kern w:val="0"/>
                <w:sz w:val="21"/>
                <w:szCs w:val="21"/>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原阳县</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8515</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9337</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6.7</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延津县</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6890</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5.4</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7520</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5.4</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封丘县</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10015</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7.8</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11113</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8.0</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新乡高新技术产业开发区</w:t>
            </w:r>
          </w:p>
        </w:tc>
        <w:tc>
          <w:tcPr>
            <w:tcW w:w="798" w:type="pct"/>
            <w:tcBorders>
              <w:tl2br w:val="nil"/>
              <w:tr2bl w:val="nil"/>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630</w:t>
            </w:r>
            <w:r>
              <w:rPr>
                <w:rFonts w:hint="eastAsia" w:ascii="宋体" w:hAnsi="宋体" w:cs="宋体"/>
                <w:i w:val="0"/>
                <w:color w:val="000000"/>
                <w:kern w:val="0"/>
                <w:sz w:val="21"/>
                <w:szCs w:val="21"/>
                <w:u w:val="none"/>
                <w:lang w:val="en-US" w:eastAsia="zh-CN" w:bidi="ar"/>
              </w:rPr>
              <w:t>5</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4.9</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6629</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4.8</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新乡经济技术开发区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1890</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1.5</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1961</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新乡市平原城乡一体化示范区</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3665</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2.9</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3956</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2.8</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卫辉市</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716</w:t>
            </w:r>
            <w:r>
              <w:rPr>
                <w:rFonts w:hint="eastAsia" w:ascii="宋体" w:hAnsi="宋体" w:cs="宋体"/>
                <w:i w:val="0"/>
                <w:color w:val="000000"/>
                <w:kern w:val="0"/>
                <w:sz w:val="21"/>
                <w:szCs w:val="21"/>
                <w:u w:val="none"/>
                <w:lang w:val="en-US" w:eastAsia="zh-CN" w:bidi="ar"/>
              </w:rPr>
              <w:t>3</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5.6</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795</w:t>
            </w:r>
            <w:r>
              <w:rPr>
                <w:rFonts w:hint="eastAsia" w:ascii="宋体" w:hAnsi="宋体" w:cs="宋体"/>
                <w:i w:val="0"/>
                <w:color w:val="000000"/>
                <w:kern w:val="0"/>
                <w:sz w:val="21"/>
                <w:szCs w:val="21"/>
                <w:u w:val="none"/>
                <w:lang w:val="en-US" w:eastAsia="zh-CN" w:bidi="ar"/>
              </w:rPr>
              <w:t>4</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5.7</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辉县市</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1309</w:t>
            </w:r>
            <w:r>
              <w:rPr>
                <w:rFonts w:hint="eastAsia" w:ascii="宋体" w:hAnsi="宋体" w:cs="宋体"/>
                <w:i w:val="0"/>
                <w:color w:val="000000"/>
                <w:kern w:val="0"/>
                <w:sz w:val="21"/>
                <w:szCs w:val="21"/>
                <w:u w:val="none"/>
                <w:lang w:val="en-US" w:eastAsia="zh-CN" w:bidi="ar"/>
              </w:rPr>
              <w:t>3</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10.2</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1494</w:t>
            </w:r>
            <w:r>
              <w:rPr>
                <w:rFonts w:hint="eastAsia" w:ascii="宋体" w:hAnsi="宋体" w:cs="宋体"/>
                <w:i w:val="0"/>
                <w:color w:val="000000"/>
                <w:kern w:val="0"/>
                <w:sz w:val="21"/>
                <w:szCs w:val="21"/>
                <w:u w:val="none"/>
                <w:lang w:val="en-US" w:eastAsia="zh-CN" w:bidi="ar"/>
              </w:rPr>
              <w:t>7</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10.7</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23" w:hRule="atLeast"/>
          <w:jc w:val="center"/>
        </w:trPr>
        <w:tc>
          <w:tcPr>
            <w:tcW w:w="180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长垣市</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24552</w:t>
            </w:r>
          </w:p>
        </w:tc>
        <w:tc>
          <w:tcPr>
            <w:tcW w:w="799"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19.1</w:t>
            </w:r>
          </w:p>
        </w:tc>
        <w:tc>
          <w:tcPr>
            <w:tcW w:w="798"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25890</w:t>
            </w:r>
          </w:p>
        </w:tc>
        <w:tc>
          <w:tcPr>
            <w:tcW w:w="801" w:type="pct"/>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18.6</w:t>
            </w:r>
          </w:p>
        </w:tc>
      </w:tr>
    </w:tbl>
    <w:p/>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2" w:firstLineChars="200"/>
        <w:textAlignment w:val="auto"/>
        <w:outlineLvl w:val="9"/>
        <w:rPr>
          <w:rFonts w:hint="eastAsia" w:ascii="黑体" w:hAnsi="黑体" w:eastAsia="黑体" w:cs="黑体"/>
          <w:color w:val="000000"/>
          <w:kern w:val="2"/>
          <w:sz w:val="32"/>
          <w:szCs w:val="32"/>
          <w:u w:val="none"/>
          <w:lang w:val="en-US" w:eastAsia="zh-CN" w:bidi="ar-SA"/>
        </w:rPr>
      </w:pPr>
      <w:r>
        <w:rPr>
          <w:rFonts w:hint="eastAsia" w:ascii="黑体" w:hAnsi="黑体" w:eastAsia="黑体" w:cs="黑体"/>
          <w:b/>
          <w:bCs/>
          <w:color w:val="000000"/>
          <w:kern w:val="2"/>
          <w:sz w:val="32"/>
          <w:szCs w:val="32"/>
          <w:u w:val="none"/>
          <w:lang w:val="en-US" w:eastAsia="zh-CN" w:bidi="ar-SA"/>
        </w:rPr>
        <w:t>二</w:t>
      </w:r>
      <w:r>
        <w:rPr>
          <w:rFonts w:hint="eastAsia" w:ascii="黑体" w:hAnsi="黑体" w:eastAsia="黑体" w:cs="黑体"/>
          <w:color w:val="000000"/>
          <w:kern w:val="2"/>
          <w:sz w:val="32"/>
          <w:szCs w:val="32"/>
          <w:u w:val="none"/>
          <w:lang w:val="en-US" w:eastAsia="zh-CN" w:bidi="ar-SA"/>
        </w:rPr>
        <w:t>、</w:t>
      </w:r>
      <w:r>
        <w:rPr>
          <w:rFonts w:hint="eastAsia" w:ascii="黑体" w:hAnsi="黑体" w:eastAsia="黑体" w:cs="黑体"/>
          <w:b/>
          <w:bCs/>
          <w:color w:val="000000"/>
          <w:spacing w:val="-6"/>
          <w:kern w:val="2"/>
          <w:sz w:val="32"/>
          <w:szCs w:val="32"/>
          <w:u w:val="none"/>
          <w:lang w:val="en-US" w:eastAsia="zh-CN" w:bidi="ar-SA"/>
        </w:rPr>
        <w:t>从业人员</w:t>
      </w:r>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color w:val="000000"/>
          <w:kern w:val="2"/>
          <w:sz w:val="32"/>
          <w:szCs w:val="32"/>
          <w:u w:val="none"/>
          <w:lang w:val="en-US" w:eastAsia="zh-CN" w:bidi="ar-SA"/>
        </w:rPr>
        <w:t>2023年末，全市第二产业和第三产业法人单位从业人员1638742人，位居前三位的县（市、区）是：长垣市368182人，占22.5%；辉县市191385人，占11.7%；红旗区142298人，占8.7%（详见表7-2）。</w:t>
      </w:r>
    </w:p>
    <w:p>
      <w:pPr>
        <w:pStyle w:val="19"/>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jc w:val="center"/>
        <w:textAlignment w:val="auto"/>
        <w:outlineLvl w:val="9"/>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表7-2 按</w:t>
      </w:r>
      <w:r>
        <w:rPr>
          <w:rFonts w:hint="eastAsia" w:cs="宋体"/>
          <w:b/>
          <w:i w:val="0"/>
          <w:caps w:val="0"/>
          <w:color w:val="000000"/>
          <w:spacing w:val="0"/>
          <w:kern w:val="0"/>
          <w:sz w:val="24"/>
          <w:szCs w:val="24"/>
          <w:highlight w:val="none"/>
          <w:lang w:val="en-US" w:eastAsia="zh-CN" w:bidi="ar"/>
        </w:rPr>
        <w:t>县（市、区）</w:t>
      </w:r>
      <w:r>
        <w:rPr>
          <w:rFonts w:hint="eastAsia" w:ascii="宋体" w:hAnsi="宋体" w:eastAsia="宋体" w:cs="宋体"/>
          <w:b/>
          <w:i w:val="0"/>
          <w:color w:val="000000"/>
          <w:kern w:val="0"/>
          <w:sz w:val="24"/>
          <w:szCs w:val="24"/>
          <w:u w:val="none"/>
          <w:lang w:val="en-US" w:eastAsia="zh-CN" w:bidi="ar"/>
        </w:rPr>
        <w:t>分组的法人单位从业人员</w:t>
      </w:r>
    </w:p>
    <w:tbl>
      <w:tblPr>
        <w:tblStyle w:val="22"/>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89"/>
        <w:gridCol w:w="2506"/>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289" w:type="dxa"/>
            <w:vMerge w:val="restart"/>
            <w:tcBorders>
              <w:top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2506" w:type="dxa"/>
            <w:vMerge w:val="restart"/>
            <w:tcBorders>
              <w:top w:val="single" w:color="000000" w:sz="12" w:space="0"/>
              <w:left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法人单位从业人员（人）</w:t>
            </w:r>
          </w:p>
        </w:tc>
        <w:tc>
          <w:tcPr>
            <w:tcW w:w="2505" w:type="dxa"/>
            <w:tcBorders>
              <w:top w:val="single" w:color="000000" w:sz="12" w:space="0"/>
              <w:left w:val="nil"/>
              <w:bottom w:val="single" w:color="000000" w:sz="4" w:space="0"/>
            </w:tcBorders>
            <w:noWrap w:val="0"/>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289" w:type="dxa"/>
            <w:vMerge w:val="continue"/>
            <w:tcBorders>
              <w:top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2506" w:type="dxa"/>
            <w:vMerge w:val="continue"/>
            <w:tcBorders>
              <w:top w:val="single" w:color="000000" w:sz="12" w:space="0"/>
              <w:left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250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其中：女性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 w:hRule="atLeast"/>
        </w:trPr>
        <w:tc>
          <w:tcPr>
            <w:tcW w:w="3289"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合计</w:t>
            </w:r>
          </w:p>
        </w:tc>
        <w:tc>
          <w:tcPr>
            <w:tcW w:w="250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 xml:space="preserve">1638742 </w:t>
            </w:r>
          </w:p>
        </w:tc>
        <w:tc>
          <w:tcPr>
            <w:tcW w:w="2505" w:type="dxa"/>
            <w:tcBorders>
              <w:top w:val="single" w:color="000000" w:sz="4" w:space="0"/>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 xml:space="preserve">669326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红旗区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142298</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卫滨区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64306</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凤泉区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39070</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牧野区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70486</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新乡县</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105400</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获嘉县</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95063</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原阳县</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97050</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延津县</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80280</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封丘县</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96834</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新乡高新技术产业开发区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100466</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新乡经济技术开发区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52732</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新乡市平原城乡一体化示范区</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39463</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卫辉市</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95727</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328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辉县市</w:t>
            </w:r>
          </w:p>
        </w:tc>
        <w:tc>
          <w:tcPr>
            <w:tcW w:w="2506" w:type="dxa"/>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191385</w:t>
            </w:r>
          </w:p>
        </w:tc>
        <w:tc>
          <w:tcPr>
            <w:tcW w:w="2505" w:type="dxa"/>
            <w:tcBorders>
              <w:lef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289" w:type="dxa"/>
            <w:tcBorders>
              <w:bottom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长垣市</w:t>
            </w:r>
          </w:p>
        </w:tc>
        <w:tc>
          <w:tcPr>
            <w:tcW w:w="2506" w:type="dxa"/>
            <w:tcBorders>
              <w:left w:val="single" w:color="000000" w:sz="4" w:space="0"/>
              <w:bottom w:val="single" w:color="000000" w:sz="12"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368182</w:t>
            </w:r>
          </w:p>
        </w:tc>
        <w:tc>
          <w:tcPr>
            <w:tcW w:w="2505" w:type="dxa"/>
            <w:tcBorders>
              <w:left w:val="single" w:color="000000" w:sz="4" w:space="0"/>
              <w:bottom w:val="single" w:color="000000" w:sz="12"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133700</w:t>
            </w:r>
          </w:p>
        </w:tc>
      </w:tr>
    </w:tbl>
    <w:p>
      <w:pPr>
        <w:pStyle w:val="19"/>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both"/>
        <w:textAlignment w:val="auto"/>
        <w:outlineLvl w:val="9"/>
        <w:rPr>
          <w:rFonts w:hint="eastAsia" w:ascii="宋体" w:hAnsi="宋体" w:eastAsia="宋体" w:cs="宋体"/>
          <w:b/>
          <w:i w:val="0"/>
          <w:color w:val="000000"/>
          <w:kern w:val="0"/>
          <w:sz w:val="24"/>
          <w:szCs w:val="24"/>
          <w:u w:val="none"/>
          <w:lang w:val="en-US" w:eastAsia="zh-CN" w:bidi="ar"/>
        </w:rPr>
      </w:pPr>
    </w:p>
    <w:p>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618" w:firstLineChars="200"/>
        <w:textAlignment w:val="auto"/>
        <w:outlineLvl w:val="9"/>
        <w:rPr>
          <w:rFonts w:hint="eastAsia" w:ascii="黑体" w:hAnsi="黑体" w:eastAsia="黑体" w:cs="黑体"/>
          <w:b/>
          <w:bCs/>
          <w:color w:val="000000"/>
          <w:spacing w:val="-6"/>
          <w:kern w:val="2"/>
          <w:sz w:val="32"/>
          <w:szCs w:val="32"/>
          <w:u w:val="none"/>
          <w:lang w:val="en-US" w:eastAsia="zh-CN" w:bidi="ar-SA"/>
        </w:rPr>
      </w:pPr>
      <w:r>
        <w:rPr>
          <w:rFonts w:hint="eastAsia" w:ascii="黑体" w:hAnsi="黑体" w:eastAsia="黑体" w:cs="黑体"/>
          <w:b/>
          <w:bCs/>
          <w:color w:val="000000"/>
          <w:spacing w:val="-6"/>
          <w:kern w:val="2"/>
          <w:sz w:val="32"/>
          <w:szCs w:val="32"/>
          <w:u w:val="none"/>
          <w:lang w:val="en-US" w:eastAsia="zh-CN" w:bidi="ar-SA"/>
        </w:rPr>
        <w:t>三、开发区情况</w:t>
      </w:r>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开发区共有第二产业和第三产业“规上”法人单位1488个，位居前三位的县（市、区）是：长垣经济技术开发区336个，占22.6%；新乡高新技术产业开发区242个，占16.3%；原阳县先进制造业开发区和新乡经济技术开发区并列第三，152个，占10.2%。</w:t>
      </w:r>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eastAsia" w:ascii="仿宋" w:hAnsi="仿宋" w:eastAsia="仿宋" w:cs="仿宋"/>
          <w:color w:val="000000"/>
          <w:kern w:val="2"/>
          <w:sz w:val="32"/>
          <w:szCs w:val="32"/>
          <w:u w:val="none"/>
          <w:lang w:val="en-US" w:eastAsia="zh-CN" w:bidi="ar-SA"/>
        </w:rPr>
      </w:pPr>
      <w:r>
        <w:rPr>
          <w:rFonts w:hint="eastAsia" w:ascii="仿宋" w:hAnsi="仿宋" w:eastAsia="仿宋" w:cs="仿宋"/>
          <w:color w:val="000000"/>
          <w:kern w:val="2"/>
          <w:sz w:val="32"/>
          <w:szCs w:val="32"/>
          <w:u w:val="none"/>
          <w:lang w:val="en-US" w:eastAsia="zh-CN" w:bidi="ar-SA"/>
        </w:rPr>
        <w:t>2023年末，全市开发区第二产业和第三产业“规上”法人单位从业人员211119人，位居前三位的县市区是：长垣经济技术开发区80807人</w:t>
      </w:r>
      <w:r>
        <w:rPr>
          <w:rFonts w:hint="default" w:ascii="仿宋" w:hAnsi="仿宋" w:eastAsia="仿宋" w:cs="仿宋"/>
          <w:color w:val="000000"/>
          <w:kern w:val="2"/>
          <w:sz w:val="32"/>
          <w:szCs w:val="32"/>
          <w:u w:val="none"/>
          <w:lang w:val="en" w:eastAsia="zh-CN" w:bidi="ar-SA"/>
        </w:rPr>
        <w:t>,</w:t>
      </w:r>
      <w:r>
        <w:rPr>
          <w:rFonts w:hint="eastAsia" w:ascii="仿宋" w:hAnsi="仿宋" w:eastAsia="仿宋" w:cs="仿宋"/>
          <w:color w:val="000000"/>
          <w:kern w:val="2"/>
          <w:sz w:val="32"/>
          <w:szCs w:val="32"/>
          <w:u w:val="none"/>
          <w:lang w:val="en-US" w:eastAsia="zh-CN" w:bidi="ar-SA"/>
        </w:rPr>
        <w:t>占38.3%；新乡高新技术产业开发区28774人，占13.6%；新乡经济技术开发区19458人，占9.2%（详见表7-3）。</w:t>
      </w:r>
    </w:p>
    <w:p>
      <w:pPr>
        <w:pStyle w:val="19"/>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157" w:afterLines="50" w:afterAutospacing="0" w:line="240" w:lineRule="auto"/>
        <w:jc w:val="center"/>
        <w:textAlignment w:val="auto"/>
        <w:outlineLvl w:val="9"/>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表7-</w:t>
      </w:r>
      <w:r>
        <w:rPr>
          <w:rFonts w:hint="eastAsia" w:ascii="宋体" w:hAnsi="宋体" w:cs="宋体"/>
          <w:b/>
          <w:i w:val="0"/>
          <w:color w:val="000000"/>
          <w:kern w:val="0"/>
          <w:sz w:val="24"/>
          <w:szCs w:val="24"/>
          <w:u w:val="none"/>
          <w:lang w:val="en-US" w:eastAsia="zh-CN" w:bidi="ar"/>
        </w:rPr>
        <w:t>3</w:t>
      </w:r>
      <w:r>
        <w:rPr>
          <w:rFonts w:hint="eastAsia" w:ascii="宋体" w:hAnsi="宋体" w:eastAsia="宋体" w:cs="宋体"/>
          <w:b/>
          <w:i w:val="0"/>
          <w:color w:val="000000"/>
          <w:kern w:val="0"/>
          <w:sz w:val="24"/>
          <w:szCs w:val="24"/>
          <w:u w:val="none"/>
          <w:lang w:val="en-US" w:eastAsia="zh-CN" w:bidi="ar"/>
        </w:rPr>
        <w:t xml:space="preserve"> 按</w:t>
      </w:r>
      <w:r>
        <w:rPr>
          <w:rFonts w:hint="eastAsia" w:ascii="宋体" w:hAnsi="宋体" w:cs="宋体"/>
          <w:b/>
          <w:i w:val="0"/>
          <w:color w:val="000000"/>
          <w:kern w:val="0"/>
          <w:sz w:val="24"/>
          <w:szCs w:val="24"/>
          <w:u w:val="none"/>
          <w:lang w:val="en-US" w:eastAsia="zh-CN" w:bidi="ar"/>
        </w:rPr>
        <w:t>开发区分组的“规上”</w:t>
      </w:r>
      <w:r>
        <w:rPr>
          <w:rFonts w:hint="eastAsia" w:ascii="宋体" w:hAnsi="宋体" w:eastAsia="宋体" w:cs="宋体"/>
          <w:b/>
          <w:i w:val="0"/>
          <w:color w:val="000000"/>
          <w:kern w:val="0"/>
          <w:sz w:val="24"/>
          <w:szCs w:val="24"/>
          <w:u w:val="none"/>
          <w:lang w:val="en-US" w:eastAsia="zh-CN" w:bidi="ar"/>
        </w:rPr>
        <w:t>法人单位</w:t>
      </w:r>
      <w:r>
        <w:rPr>
          <w:rFonts w:hint="eastAsia" w:ascii="宋体" w:hAnsi="宋体" w:cs="宋体"/>
          <w:b/>
          <w:i w:val="0"/>
          <w:color w:val="000000"/>
          <w:kern w:val="0"/>
          <w:sz w:val="24"/>
          <w:szCs w:val="24"/>
          <w:u w:val="none"/>
          <w:lang w:val="en-US" w:eastAsia="zh-CN" w:bidi="ar"/>
        </w:rPr>
        <w:t>数及</w:t>
      </w:r>
      <w:r>
        <w:rPr>
          <w:rFonts w:hint="eastAsia" w:ascii="宋体" w:hAnsi="宋体" w:eastAsia="宋体" w:cs="宋体"/>
          <w:b/>
          <w:i w:val="0"/>
          <w:color w:val="000000"/>
          <w:kern w:val="0"/>
          <w:sz w:val="24"/>
          <w:szCs w:val="24"/>
          <w:u w:val="none"/>
          <w:lang w:val="en-US" w:eastAsia="zh-CN" w:bidi="ar"/>
        </w:rPr>
        <w:t>从业人员</w:t>
      </w:r>
    </w:p>
    <w:tbl>
      <w:tblPr>
        <w:tblStyle w:val="23"/>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3876"/>
        <w:gridCol w:w="2147"/>
        <w:gridCol w:w="2148"/>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7" w:hRule="exact"/>
          <w:jc w:val="center"/>
        </w:trPr>
        <w:tc>
          <w:tcPr>
            <w:tcW w:w="3876" w:type="dxa"/>
            <w:tcBorders>
              <w:top w:val="single" w:color="auto" w:sz="12" w:space="0"/>
              <w:bottom w:val="single" w:color="auto" w:sz="4" w:space="0"/>
            </w:tcBorders>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ind w:right="0" w:rightChars="0"/>
              <w:jc w:val="center"/>
              <w:textAlignment w:val="auto"/>
              <w:outlineLvl w:val="9"/>
              <w:rPr>
                <w:rFonts w:hint="eastAsia" w:ascii="宋体" w:hAnsi="宋体" w:eastAsia="宋体" w:cs="宋体"/>
                <w:b/>
                <w:bCs/>
                <w:color w:val="000000"/>
                <w:spacing w:val="-6"/>
                <w:kern w:val="2"/>
                <w:sz w:val="21"/>
                <w:szCs w:val="21"/>
                <w:u w:val="none"/>
                <w:vertAlign w:val="baseline"/>
                <w:lang w:val="en-US" w:eastAsia="zh-CN" w:bidi="ar-SA"/>
              </w:rPr>
            </w:pPr>
          </w:p>
        </w:tc>
        <w:tc>
          <w:tcPr>
            <w:tcW w:w="2147" w:type="dxa"/>
            <w:tcBorders>
              <w:top w:val="single" w:color="auto" w:sz="12" w:space="0"/>
              <w:bottom w:val="single" w:color="auto" w:sz="4" w:space="0"/>
            </w:tcBorders>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ind w:right="0" w:rightChars="0"/>
              <w:jc w:val="center"/>
              <w:textAlignment w:val="auto"/>
              <w:outlineLvl w:val="9"/>
              <w:rPr>
                <w:rFonts w:hint="eastAsia" w:ascii="宋体" w:hAnsi="宋体" w:eastAsia="宋体" w:cs="宋体"/>
                <w:b/>
                <w:bCs/>
                <w:color w:val="000000"/>
                <w:spacing w:val="-6"/>
                <w:kern w:val="2"/>
                <w:sz w:val="21"/>
                <w:szCs w:val="21"/>
                <w:u w:val="none"/>
                <w:vertAlign w:val="baseline"/>
                <w:lang w:val="en-US" w:eastAsia="zh-CN" w:bidi="ar-SA"/>
              </w:rPr>
            </w:pPr>
            <w:r>
              <w:rPr>
                <w:rFonts w:hint="eastAsia" w:ascii="宋体" w:hAnsi="宋体" w:eastAsia="宋体" w:cs="宋体"/>
                <w:b/>
                <w:bCs/>
                <w:color w:val="000000"/>
                <w:spacing w:val="-6"/>
                <w:kern w:val="2"/>
                <w:sz w:val="21"/>
                <w:szCs w:val="21"/>
                <w:u w:val="none"/>
                <w:vertAlign w:val="baseline"/>
                <w:lang w:val="en-US" w:eastAsia="zh-CN" w:bidi="ar-SA"/>
              </w:rPr>
              <w:t>法人单位数（个）</w:t>
            </w:r>
          </w:p>
        </w:tc>
        <w:tc>
          <w:tcPr>
            <w:tcW w:w="2148" w:type="dxa"/>
            <w:tcBorders>
              <w:top w:val="single" w:color="auto" w:sz="12" w:space="0"/>
              <w:bottom w:val="single" w:color="auto" w:sz="4" w:space="0"/>
            </w:tcBorders>
            <w:noWrap w:val="0"/>
            <w:vAlign w:val="center"/>
          </w:tcPr>
          <w:p>
            <w:pPr>
              <w:pStyle w:val="1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ind w:right="0" w:rightChars="0"/>
              <w:jc w:val="center"/>
              <w:textAlignment w:val="auto"/>
              <w:outlineLvl w:val="9"/>
              <w:rPr>
                <w:rFonts w:hint="eastAsia" w:ascii="宋体" w:hAnsi="宋体" w:eastAsia="宋体" w:cs="宋体"/>
                <w:b/>
                <w:bCs/>
                <w:color w:val="000000"/>
                <w:spacing w:val="-6"/>
                <w:kern w:val="2"/>
                <w:sz w:val="21"/>
                <w:szCs w:val="21"/>
                <w:u w:val="none"/>
                <w:vertAlign w:val="baseline"/>
                <w:lang w:val="en-US" w:eastAsia="zh-CN" w:bidi="ar-SA"/>
              </w:rPr>
            </w:pPr>
            <w:r>
              <w:rPr>
                <w:rFonts w:hint="eastAsia" w:ascii="宋体" w:hAnsi="宋体" w:eastAsia="宋体" w:cs="宋体"/>
                <w:b/>
                <w:bCs/>
                <w:color w:val="000000"/>
                <w:spacing w:val="-6"/>
                <w:kern w:val="2"/>
                <w:sz w:val="21"/>
                <w:szCs w:val="21"/>
                <w:u w:val="none"/>
                <w:vertAlign w:val="baseline"/>
                <w:lang w:val="en-US" w:eastAsia="zh-CN" w:bidi="ar-SA"/>
              </w:rPr>
              <w:t>从业人员数（人）</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single" w:color="auto" w:sz="4" w:space="0"/>
              <w:bottom w:val="nil"/>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
              </w:rPr>
              <w:t>合计</w:t>
            </w:r>
          </w:p>
        </w:tc>
        <w:tc>
          <w:tcPr>
            <w:tcW w:w="2147" w:type="dxa"/>
            <w:tcBorders>
              <w:top w:val="single" w:color="auto" w:sz="4" w:space="0"/>
              <w:bottom w:val="nil"/>
            </w:tcBorders>
            <w:noWrap w:val="0"/>
            <w:vAlign w:val="center"/>
          </w:tcPr>
          <w:p>
            <w:pPr>
              <w:keepNext w:val="0"/>
              <w:keepLines w:val="0"/>
              <w:widowControl/>
              <w:suppressLineNumbers w:val="0"/>
              <w:jc w:val="right"/>
              <w:textAlignment w:val="center"/>
              <w:rPr>
                <w:rFonts w:hint="eastAsia" w:ascii="宋体" w:hAnsi="宋体" w:eastAsia="宋体" w:cs="宋体"/>
                <w:b/>
                <w:bCs/>
                <w:i w:val="0"/>
                <w:color w:val="000000"/>
                <w:kern w:val="2"/>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
              </w:rPr>
              <w:t>1488</w:t>
            </w:r>
          </w:p>
        </w:tc>
        <w:tc>
          <w:tcPr>
            <w:tcW w:w="2148" w:type="dxa"/>
            <w:tcBorders>
              <w:top w:val="single" w:color="auto" w:sz="4" w:space="0"/>
              <w:bottom w:val="nil"/>
            </w:tcBorders>
            <w:noWrap w:val="0"/>
            <w:vAlign w:val="center"/>
          </w:tcPr>
          <w:p>
            <w:pPr>
              <w:keepNext w:val="0"/>
              <w:keepLines w:val="0"/>
              <w:widowControl/>
              <w:suppressLineNumbers w:val="0"/>
              <w:jc w:val="right"/>
              <w:textAlignment w:val="center"/>
              <w:rPr>
                <w:rFonts w:hint="eastAsia" w:ascii="宋体" w:hAnsi="宋体" w:eastAsia="宋体" w:cs="宋体"/>
                <w:b/>
                <w:bCs/>
                <w:i w:val="0"/>
                <w:color w:val="000000"/>
                <w:kern w:val="2"/>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
              </w:rPr>
              <w:t>211119</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新乡红旗区先进制造业开发区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44</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4364</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新乡电源产业开发区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71</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5378</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新乡经济开发区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54</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13928</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获嘉县先进制造业开发区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129</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9161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原阳县先进制造业开发区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152</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11331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延津县先进制造业开发区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94</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9794</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封丘县先进制造业开发区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60</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4999</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新乡高新技术产业开发区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242</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28774</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新乡经济技术开发区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152</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19458</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新乡市平原现代服务业开发区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7</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2173</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卫辉市先进制造业开发区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45</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6332</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辉县经济技术开发区</w:t>
            </w:r>
          </w:p>
        </w:tc>
        <w:tc>
          <w:tcPr>
            <w:tcW w:w="2147"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102</w:t>
            </w:r>
          </w:p>
        </w:tc>
        <w:tc>
          <w:tcPr>
            <w:tcW w:w="2148" w:type="dxa"/>
            <w:tcBorders>
              <w:top w:val="nil"/>
              <w:bottom w:val="nil"/>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14620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9" w:hRule="atLeast"/>
          <w:jc w:val="center"/>
        </w:trPr>
        <w:tc>
          <w:tcPr>
            <w:tcW w:w="3876" w:type="dxa"/>
            <w:tcBorders>
              <w:top w:val="nil"/>
              <w:bottom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长垣经济技术开发区</w:t>
            </w:r>
          </w:p>
        </w:tc>
        <w:tc>
          <w:tcPr>
            <w:tcW w:w="2147" w:type="dxa"/>
            <w:tcBorders>
              <w:top w:val="nil"/>
              <w:bottom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336</w:t>
            </w:r>
          </w:p>
        </w:tc>
        <w:tc>
          <w:tcPr>
            <w:tcW w:w="2148" w:type="dxa"/>
            <w:tcBorders>
              <w:top w:val="nil"/>
              <w:bottom w:val="single" w:color="auto" w:sz="12"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80807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sz w:val="28"/>
          <w:szCs w:val="28"/>
        </w:rPr>
      </w:pPr>
      <w:r>
        <w:rPr>
          <w:rFonts w:hint="eastAsia" w:ascii="黑体" w:hAnsi="黑体" w:eastAsia="黑体" w:cs="黑体"/>
          <w:sz w:val="28"/>
          <w:szCs w:val="28"/>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楷体" w:hAnsi="楷体" w:eastAsia="楷体" w:cs="楷体"/>
          <w:sz w:val="28"/>
          <w:szCs w:val="28"/>
        </w:rPr>
      </w:pPr>
      <w:r>
        <w:rPr>
          <w:rFonts w:hint="eastAsia" w:ascii="仿宋" w:hAnsi="仿宋" w:eastAsia="仿宋" w:cs="仿宋"/>
          <w:sz w:val="28"/>
          <w:szCs w:val="28"/>
        </w:rPr>
        <w:t> </w:t>
      </w:r>
      <w:r>
        <w:rPr>
          <w:rFonts w:hint="eastAsia" w:ascii="楷体" w:hAnsi="楷体" w:eastAsia="楷体" w:cs="楷体"/>
          <w:sz w:val="28"/>
          <w:szCs w:val="28"/>
        </w:rPr>
        <w:t>[1]开发区指国家或省政府批复设立的经济功能区，包括</w:t>
      </w:r>
      <w:r>
        <w:rPr>
          <w:rFonts w:hint="eastAsia" w:ascii="楷体" w:hAnsi="楷体" w:eastAsia="楷体" w:cs="楷体"/>
          <w:sz w:val="28"/>
          <w:szCs w:val="28"/>
          <w:lang w:val="en-US" w:eastAsia="zh-CN"/>
        </w:rPr>
        <w:t>12</w:t>
      </w:r>
      <w:r>
        <w:rPr>
          <w:rFonts w:hint="eastAsia" w:ascii="楷体" w:hAnsi="楷体" w:eastAsia="楷体" w:cs="楷体"/>
          <w:sz w:val="28"/>
          <w:szCs w:val="28"/>
        </w:rPr>
        <w:t>个先进制造业开发区和</w:t>
      </w:r>
      <w:r>
        <w:rPr>
          <w:rFonts w:hint="eastAsia" w:ascii="楷体" w:hAnsi="楷体" w:eastAsia="楷体" w:cs="楷体"/>
          <w:sz w:val="28"/>
          <w:szCs w:val="28"/>
          <w:lang w:val="en-US" w:eastAsia="zh-CN"/>
        </w:rPr>
        <w:t>1</w:t>
      </w:r>
      <w:r>
        <w:rPr>
          <w:rFonts w:hint="eastAsia" w:ascii="楷体" w:hAnsi="楷体" w:eastAsia="楷体" w:cs="楷体"/>
          <w:sz w:val="28"/>
          <w:szCs w:val="28"/>
        </w:rPr>
        <w:t>个现代服务业开发区。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[2]“规上”法人单位，指规模以上工业、有资质的建筑业、限额以上批发和零售业、限额以上住宿和餐饮业、有开发经营活动的房地产开发经营业、规模以上服务业法人单位。规模以上工业：年主营业务收入2000万元及以上的工业法人单位。有资质的建筑业：有总承包和专业承包资质的建筑业法人单位。限额以上批发和零售业：年主营业务收入2000万元及以上的批发业、年主营业务收入500万元及以上的零售业法人单位。限额以上住宿和餐饮业：年主营业务收入200万元及以上的住宿和餐饮业法人单位。有开发经营活动的房地产开发经营业：有开发经营活动的房地产开发经营业法人单位。规模以上服务业：年营业收入2000万元及以上服务业法人单位，包括：交通运输、仓储和邮政业，信息传输、软件和信息技术服务业，水利、环境和公共设施管理业，卫生；年营业收入1000万元及以上服务业法人单位，包括：租赁和商务服务业，科学研究和技术服务业，教育，以及物业管理、房地产中介服务、房地产租赁经营和其他房地产业；年营业收入500万元及以上服务业法人单位，包括：居民服务、修理和其他服务业，文化、体育和娱乐业，社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楷体" w:hAnsi="楷体" w:eastAsia="楷体" w:cs="楷体"/>
        </w:rPr>
      </w:pPr>
      <w:r>
        <w:rPr>
          <w:rFonts w:hint="eastAsia" w:ascii="楷体" w:hAnsi="楷体" w:eastAsia="楷体" w:cs="楷体"/>
          <w:sz w:val="28"/>
          <w:szCs w:val="28"/>
        </w:rPr>
        <w:t>[</w:t>
      </w:r>
      <w:r>
        <w:rPr>
          <w:rFonts w:hint="eastAsia" w:ascii="楷体" w:hAnsi="楷体" w:eastAsia="楷体" w:cs="楷体"/>
          <w:sz w:val="28"/>
          <w:szCs w:val="28"/>
          <w:lang w:val="en-US" w:eastAsia="zh-CN"/>
        </w:rPr>
        <w:t>3</w:t>
      </w:r>
      <w:r>
        <w:rPr>
          <w:rFonts w:hint="eastAsia" w:ascii="楷体" w:hAnsi="楷体" w:eastAsia="楷体" w:cs="楷体"/>
          <w:sz w:val="28"/>
          <w:szCs w:val="28"/>
        </w:rPr>
        <w:t>]表中的合计数和部分计算数据因小数取舍而产生的误差，均未作机械调整。为保证数据精确度，个别数据保留2位小数。</w:t>
      </w:r>
    </w:p>
    <w:p>
      <w:pPr>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Nimbus Roman No9 L"/>
    <w:panose1 w:val="020B0604020202020204"/>
    <w:charset w:val="00"/>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Helvetica Neue">
    <w:altName w:val="华文仿宋"/>
    <w:panose1 w:val="00000000000000000000"/>
    <w:charset w:val="00"/>
    <w:family w:val="roma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16"/>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szCs w:val="18"/>
          <w:lang w:eastAsia="zh-CN"/>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 w:id="1">
    <w:p>
      <w:pPr>
        <w:pStyle w:val="16"/>
        <w:snapToGrid w:val="0"/>
        <w:spacing w:line="240" w:lineRule="auto"/>
        <w:ind w:firstLine="0" w:firstLineChars="0"/>
        <w:jc w:val="both"/>
        <w:textAlignment w:val="auto"/>
        <w:rPr>
          <w:rFonts w:hint="eastAsia" w:ascii="宋体" w:hAnsi="宋体" w:eastAsia="宋体" w:cs="宋体"/>
          <w:lang w:val="en-US" w:eastAsia="zh-CN"/>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2">
    <w:p>
      <w:pPr>
        <w:pStyle w:val="16"/>
        <w:snapToGrid w:val="0"/>
        <w:spacing w:line="240" w:lineRule="auto"/>
        <w:ind w:firstLine="0" w:firstLineChars="0"/>
        <w:jc w:val="both"/>
        <w:textAlignment w:val="auto"/>
        <w:rPr>
          <w:rFonts w:hint="eastAsia" w:ascii="宋体" w:hAnsi="宋体" w:eastAsia="宋体" w:cs="宋体"/>
          <w:lang w:val="en-US" w:eastAsia="zh-CN"/>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3">
    <w:p>
      <w:pPr>
        <w:pStyle w:val="16"/>
        <w:snapToGrid w:val="0"/>
        <w:spacing w:line="240" w:lineRule="auto"/>
        <w:ind w:firstLine="0" w:firstLineChars="0"/>
        <w:jc w:val="both"/>
        <w:textAlignment w:val="auto"/>
        <w:rPr>
          <w:rStyle w:val="28"/>
          <w:rFonts w:hint="eastAsia" w:eastAsia="宋体" w:cs="Times New Roman"/>
          <w:szCs w:val="18"/>
          <w:vertAlign w:val="superscript"/>
          <w:lang w:val="en-US" w:eastAsia="zh-CN"/>
        </w:rPr>
      </w:pPr>
      <w:r>
        <w:rPr>
          <w:rStyle w:val="28"/>
          <w:rFonts w:hint="eastAsia" w:ascii="Calibri" w:hAnsi="Calibri" w:eastAsia="宋体" w:cs="Times New Roman"/>
          <w:vertAlign w:val="superscript"/>
          <w:lang w:val="en-US" w:eastAsia="zh-CN"/>
        </w:rPr>
        <w:footnoteRef/>
      </w:r>
      <w:r>
        <w:rPr>
          <w:rStyle w:val="28"/>
          <w:rFonts w:hint="eastAsia" w:ascii="Calibri" w:hAnsi="Calibri" w:eastAsia="宋体" w:cs="Times New Roman"/>
          <w:vertAlign w:val="superscript"/>
          <w:lang w:val="en-US" w:eastAsia="zh-CN"/>
        </w:rPr>
        <w:t xml:space="preserve"> </w:t>
      </w:r>
      <w:r>
        <w:rPr>
          <w:rStyle w:val="28"/>
          <w:rFonts w:hint="eastAsia" w:eastAsia="宋体" w:cs="Times New Roman"/>
          <w:szCs w:val="18"/>
          <w:vertAlign w:val="baseline"/>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4">
    <w:p>
      <w:pPr>
        <w:pStyle w:val="16"/>
        <w:snapToGrid w:val="0"/>
        <w:spacing w:line="240" w:lineRule="auto"/>
        <w:ind w:firstLine="0" w:firstLineChars="0"/>
        <w:jc w:val="left"/>
        <w:textAlignment w:val="auto"/>
        <w:rPr>
          <w:rFonts w:hint="eastAsia" w:ascii="宋体" w:hAnsi="宋体" w:eastAsia="宋体" w:cs="宋体"/>
          <w:szCs w:val="18"/>
          <w:lang w:val="en-US" w:eastAsia="zh-CN"/>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szCs w:val="1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5">
    <w:p>
      <w:pPr>
        <w:pStyle w:val="16"/>
        <w:snapToGrid w:val="0"/>
        <w:spacing w:line="240" w:lineRule="auto"/>
        <w:ind w:firstLine="0" w:firstLineChars="0"/>
        <w:jc w:val="left"/>
        <w:textAlignment w:val="auto"/>
        <w:rPr>
          <w:rFonts w:hint="eastAsia" w:ascii="宋体" w:hAnsi="宋体" w:eastAsia="宋体" w:cs="宋体"/>
          <w:szCs w:val="18"/>
          <w:lang w:val="en-US" w:eastAsia="zh-CN"/>
        </w:rPr>
      </w:pPr>
      <w:r>
        <w:rPr>
          <w:rStyle w:val="28"/>
          <w:rFonts w:hint="eastAsia" w:ascii="Calibri" w:hAnsi="Calibri" w:eastAsia="宋体" w:cs="Times New Roman"/>
          <w:vertAlign w:val="superscript"/>
        </w:rPr>
        <w:footnoteRef/>
      </w:r>
      <w:r>
        <w:rPr>
          <w:rStyle w:val="28"/>
          <w:rFonts w:hint="eastAsia" w:ascii="Calibri" w:hAnsi="Calibri" w:eastAsia="宋体" w:cs="Times New Roman"/>
          <w:vertAlign w:val="superscript"/>
        </w:rPr>
        <w:t xml:space="preserve"> </w:t>
      </w:r>
      <w:r>
        <w:rPr>
          <w:rFonts w:hint="eastAsia" w:ascii="宋体" w:hAnsi="宋体" w:eastAsia="宋体" w:cs="宋体"/>
          <w:szCs w:val="18"/>
        </w:rPr>
        <w:t>部分企业从事多</w:t>
      </w:r>
      <w:r>
        <w:rPr>
          <w:rFonts w:hint="eastAsia" w:ascii="宋体" w:hAnsi="宋体" w:eastAsia="宋体" w:cs="宋体"/>
          <w:szCs w:val="18"/>
          <w:lang w:eastAsia="zh-CN"/>
        </w:rPr>
        <w:t>个</w:t>
      </w:r>
      <w:r>
        <w:rPr>
          <w:rFonts w:hint="eastAsia" w:ascii="宋体" w:hAnsi="宋体" w:eastAsia="宋体" w:cs="宋体"/>
          <w:szCs w:val="18"/>
        </w:rPr>
        <w:t>工业战略性新兴产业领域生产活动，故工业战略性新兴产业9大领域企业法人单位数量之和大于从事战略性新兴产业生产的规模以上工业企业法人单位数量。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12"/>
    <w:footnote w:id="1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7D965"/>
    <w:rsid w:val="0000279B"/>
    <w:rsid w:val="00003817"/>
    <w:rsid w:val="000045EC"/>
    <w:rsid w:val="000048A9"/>
    <w:rsid w:val="00005489"/>
    <w:rsid w:val="00005C19"/>
    <w:rsid w:val="00006D64"/>
    <w:rsid w:val="0001051D"/>
    <w:rsid w:val="00013EA5"/>
    <w:rsid w:val="000148B4"/>
    <w:rsid w:val="00014BEF"/>
    <w:rsid w:val="00015D85"/>
    <w:rsid w:val="000178FA"/>
    <w:rsid w:val="00021211"/>
    <w:rsid w:val="00021953"/>
    <w:rsid w:val="000220B6"/>
    <w:rsid w:val="00022F19"/>
    <w:rsid w:val="000244D6"/>
    <w:rsid w:val="000252ED"/>
    <w:rsid w:val="00026F2E"/>
    <w:rsid w:val="00027144"/>
    <w:rsid w:val="00033DEF"/>
    <w:rsid w:val="00034D06"/>
    <w:rsid w:val="00036B0F"/>
    <w:rsid w:val="000377E5"/>
    <w:rsid w:val="00037985"/>
    <w:rsid w:val="00042B56"/>
    <w:rsid w:val="00042F61"/>
    <w:rsid w:val="00043184"/>
    <w:rsid w:val="00045A5E"/>
    <w:rsid w:val="00046DC9"/>
    <w:rsid w:val="000517E2"/>
    <w:rsid w:val="00052EF9"/>
    <w:rsid w:val="000535AA"/>
    <w:rsid w:val="00054EDB"/>
    <w:rsid w:val="00055EF2"/>
    <w:rsid w:val="00057F68"/>
    <w:rsid w:val="00060006"/>
    <w:rsid w:val="00060C9B"/>
    <w:rsid w:val="000622FC"/>
    <w:rsid w:val="000624C2"/>
    <w:rsid w:val="00062D04"/>
    <w:rsid w:val="00063C78"/>
    <w:rsid w:val="00067997"/>
    <w:rsid w:val="000705E2"/>
    <w:rsid w:val="0007077A"/>
    <w:rsid w:val="00072CF4"/>
    <w:rsid w:val="0007302B"/>
    <w:rsid w:val="000742BD"/>
    <w:rsid w:val="000746CB"/>
    <w:rsid w:val="000801BD"/>
    <w:rsid w:val="0008212E"/>
    <w:rsid w:val="00082C8B"/>
    <w:rsid w:val="00086FAA"/>
    <w:rsid w:val="00087B1D"/>
    <w:rsid w:val="00091948"/>
    <w:rsid w:val="00091BE8"/>
    <w:rsid w:val="00091BF9"/>
    <w:rsid w:val="00092A37"/>
    <w:rsid w:val="00092F33"/>
    <w:rsid w:val="00093028"/>
    <w:rsid w:val="00093BE4"/>
    <w:rsid w:val="00097664"/>
    <w:rsid w:val="00097D71"/>
    <w:rsid w:val="000A0A12"/>
    <w:rsid w:val="000A0B31"/>
    <w:rsid w:val="000A0E2D"/>
    <w:rsid w:val="000A0E4D"/>
    <w:rsid w:val="000A0F2B"/>
    <w:rsid w:val="000A30B0"/>
    <w:rsid w:val="000A324F"/>
    <w:rsid w:val="000A3FE3"/>
    <w:rsid w:val="000A5C13"/>
    <w:rsid w:val="000A6E90"/>
    <w:rsid w:val="000A7C69"/>
    <w:rsid w:val="000B1FA4"/>
    <w:rsid w:val="000B21B2"/>
    <w:rsid w:val="000B48EC"/>
    <w:rsid w:val="000B4A61"/>
    <w:rsid w:val="000C1775"/>
    <w:rsid w:val="000C44C0"/>
    <w:rsid w:val="000C4796"/>
    <w:rsid w:val="000C6808"/>
    <w:rsid w:val="000C7C4E"/>
    <w:rsid w:val="000D175F"/>
    <w:rsid w:val="000D3C17"/>
    <w:rsid w:val="000D485B"/>
    <w:rsid w:val="000D543A"/>
    <w:rsid w:val="000D68C5"/>
    <w:rsid w:val="000D6FEB"/>
    <w:rsid w:val="000D74C4"/>
    <w:rsid w:val="000E048F"/>
    <w:rsid w:val="000E2147"/>
    <w:rsid w:val="000E36C3"/>
    <w:rsid w:val="000E66E6"/>
    <w:rsid w:val="000E7F64"/>
    <w:rsid w:val="000F2167"/>
    <w:rsid w:val="000F2707"/>
    <w:rsid w:val="000F3176"/>
    <w:rsid w:val="000F3D21"/>
    <w:rsid w:val="000F4482"/>
    <w:rsid w:val="000F502B"/>
    <w:rsid w:val="000F59EC"/>
    <w:rsid w:val="000F65CD"/>
    <w:rsid w:val="000F6DA4"/>
    <w:rsid w:val="000F7686"/>
    <w:rsid w:val="001009C0"/>
    <w:rsid w:val="0010123E"/>
    <w:rsid w:val="00103672"/>
    <w:rsid w:val="0010381F"/>
    <w:rsid w:val="00105348"/>
    <w:rsid w:val="00106FBF"/>
    <w:rsid w:val="0010703C"/>
    <w:rsid w:val="00107639"/>
    <w:rsid w:val="00112231"/>
    <w:rsid w:val="00113706"/>
    <w:rsid w:val="00114A3D"/>
    <w:rsid w:val="00115ECE"/>
    <w:rsid w:val="001174E0"/>
    <w:rsid w:val="00121E4A"/>
    <w:rsid w:val="0012257F"/>
    <w:rsid w:val="00122D93"/>
    <w:rsid w:val="00122E10"/>
    <w:rsid w:val="0012436A"/>
    <w:rsid w:val="001243B9"/>
    <w:rsid w:val="00124640"/>
    <w:rsid w:val="001259DE"/>
    <w:rsid w:val="00125AFE"/>
    <w:rsid w:val="001267C5"/>
    <w:rsid w:val="001276B9"/>
    <w:rsid w:val="00130378"/>
    <w:rsid w:val="001309E1"/>
    <w:rsid w:val="00131042"/>
    <w:rsid w:val="00131EAD"/>
    <w:rsid w:val="0013232E"/>
    <w:rsid w:val="00132B54"/>
    <w:rsid w:val="001330E3"/>
    <w:rsid w:val="001353F4"/>
    <w:rsid w:val="00135E3E"/>
    <w:rsid w:val="00137512"/>
    <w:rsid w:val="001426B2"/>
    <w:rsid w:val="001447F7"/>
    <w:rsid w:val="00147CF9"/>
    <w:rsid w:val="00150D79"/>
    <w:rsid w:val="00153BE9"/>
    <w:rsid w:val="001579EE"/>
    <w:rsid w:val="00160B24"/>
    <w:rsid w:val="00161918"/>
    <w:rsid w:val="00162832"/>
    <w:rsid w:val="00162B8A"/>
    <w:rsid w:val="00162F10"/>
    <w:rsid w:val="00162F71"/>
    <w:rsid w:val="00163610"/>
    <w:rsid w:val="00163B63"/>
    <w:rsid w:val="001640E9"/>
    <w:rsid w:val="00164B94"/>
    <w:rsid w:val="00171986"/>
    <w:rsid w:val="00171AEC"/>
    <w:rsid w:val="00172784"/>
    <w:rsid w:val="00174B10"/>
    <w:rsid w:val="001774C2"/>
    <w:rsid w:val="00180556"/>
    <w:rsid w:val="00180B86"/>
    <w:rsid w:val="00182394"/>
    <w:rsid w:val="001836E9"/>
    <w:rsid w:val="001857FD"/>
    <w:rsid w:val="00186CB1"/>
    <w:rsid w:val="001908AE"/>
    <w:rsid w:val="00190EE4"/>
    <w:rsid w:val="001922FB"/>
    <w:rsid w:val="0019258B"/>
    <w:rsid w:val="00192A74"/>
    <w:rsid w:val="00193BB6"/>
    <w:rsid w:val="00193D68"/>
    <w:rsid w:val="00193EE3"/>
    <w:rsid w:val="00194457"/>
    <w:rsid w:val="001962D2"/>
    <w:rsid w:val="001972DB"/>
    <w:rsid w:val="001A0AB4"/>
    <w:rsid w:val="001A0ABF"/>
    <w:rsid w:val="001A100B"/>
    <w:rsid w:val="001A1915"/>
    <w:rsid w:val="001A1B3E"/>
    <w:rsid w:val="001A207F"/>
    <w:rsid w:val="001A2F15"/>
    <w:rsid w:val="001A3B8B"/>
    <w:rsid w:val="001A4AB0"/>
    <w:rsid w:val="001A6C57"/>
    <w:rsid w:val="001A74F7"/>
    <w:rsid w:val="001B1711"/>
    <w:rsid w:val="001B208E"/>
    <w:rsid w:val="001B209E"/>
    <w:rsid w:val="001B41F4"/>
    <w:rsid w:val="001B4DD9"/>
    <w:rsid w:val="001B4F44"/>
    <w:rsid w:val="001B51C1"/>
    <w:rsid w:val="001B69A7"/>
    <w:rsid w:val="001B6B9C"/>
    <w:rsid w:val="001C1136"/>
    <w:rsid w:val="001C1198"/>
    <w:rsid w:val="001C20B1"/>
    <w:rsid w:val="001C30B0"/>
    <w:rsid w:val="001C34E2"/>
    <w:rsid w:val="001C53C8"/>
    <w:rsid w:val="001C7835"/>
    <w:rsid w:val="001D1B02"/>
    <w:rsid w:val="001D391A"/>
    <w:rsid w:val="001D4139"/>
    <w:rsid w:val="001D4352"/>
    <w:rsid w:val="001D468B"/>
    <w:rsid w:val="001D78C2"/>
    <w:rsid w:val="001E1166"/>
    <w:rsid w:val="001E141B"/>
    <w:rsid w:val="001E148C"/>
    <w:rsid w:val="001E2E87"/>
    <w:rsid w:val="001E3039"/>
    <w:rsid w:val="001E4A0D"/>
    <w:rsid w:val="001E5815"/>
    <w:rsid w:val="001E5BF4"/>
    <w:rsid w:val="001E6EFC"/>
    <w:rsid w:val="001E6F5F"/>
    <w:rsid w:val="001F1856"/>
    <w:rsid w:val="001F1BC2"/>
    <w:rsid w:val="001F21F4"/>
    <w:rsid w:val="001F4292"/>
    <w:rsid w:val="001F46A8"/>
    <w:rsid w:val="001F4FAA"/>
    <w:rsid w:val="001F5A35"/>
    <w:rsid w:val="001F6DA7"/>
    <w:rsid w:val="001F6E7A"/>
    <w:rsid w:val="001F6E94"/>
    <w:rsid w:val="001F7B57"/>
    <w:rsid w:val="002000DB"/>
    <w:rsid w:val="00200BF6"/>
    <w:rsid w:val="00200F96"/>
    <w:rsid w:val="00201277"/>
    <w:rsid w:val="0020158F"/>
    <w:rsid w:val="0020176D"/>
    <w:rsid w:val="00201FE1"/>
    <w:rsid w:val="00204583"/>
    <w:rsid w:val="002056E7"/>
    <w:rsid w:val="00206128"/>
    <w:rsid w:val="00206EE5"/>
    <w:rsid w:val="002076FB"/>
    <w:rsid w:val="00207DE4"/>
    <w:rsid w:val="00211734"/>
    <w:rsid w:val="00212402"/>
    <w:rsid w:val="00212466"/>
    <w:rsid w:val="00213B97"/>
    <w:rsid w:val="00215B02"/>
    <w:rsid w:val="0021606E"/>
    <w:rsid w:val="00216C56"/>
    <w:rsid w:val="00217C7A"/>
    <w:rsid w:val="00217F1A"/>
    <w:rsid w:val="00220948"/>
    <w:rsid w:val="002210A6"/>
    <w:rsid w:val="002213E3"/>
    <w:rsid w:val="00221FFE"/>
    <w:rsid w:val="002229BE"/>
    <w:rsid w:val="00222C4D"/>
    <w:rsid w:val="00222FD8"/>
    <w:rsid w:val="00224FDE"/>
    <w:rsid w:val="00226BA9"/>
    <w:rsid w:val="00226E89"/>
    <w:rsid w:val="00227438"/>
    <w:rsid w:val="00230DFD"/>
    <w:rsid w:val="002314BA"/>
    <w:rsid w:val="00233B5D"/>
    <w:rsid w:val="00233B8B"/>
    <w:rsid w:val="00233BF7"/>
    <w:rsid w:val="0023434E"/>
    <w:rsid w:val="00235661"/>
    <w:rsid w:val="00235D9C"/>
    <w:rsid w:val="002364C5"/>
    <w:rsid w:val="0023748D"/>
    <w:rsid w:val="0024037F"/>
    <w:rsid w:val="0024339D"/>
    <w:rsid w:val="00244A6D"/>
    <w:rsid w:val="002469C2"/>
    <w:rsid w:val="00246EB7"/>
    <w:rsid w:val="00247817"/>
    <w:rsid w:val="00247AA7"/>
    <w:rsid w:val="00250DD9"/>
    <w:rsid w:val="002517A5"/>
    <w:rsid w:val="00251A71"/>
    <w:rsid w:val="002528F7"/>
    <w:rsid w:val="00256BF0"/>
    <w:rsid w:val="00256F7D"/>
    <w:rsid w:val="00261BEC"/>
    <w:rsid w:val="002640AA"/>
    <w:rsid w:val="00264FD9"/>
    <w:rsid w:val="002672A5"/>
    <w:rsid w:val="00267625"/>
    <w:rsid w:val="002721D7"/>
    <w:rsid w:val="00274A08"/>
    <w:rsid w:val="002769E7"/>
    <w:rsid w:val="00276A55"/>
    <w:rsid w:val="00276D68"/>
    <w:rsid w:val="0027783A"/>
    <w:rsid w:val="00277ABD"/>
    <w:rsid w:val="002826F4"/>
    <w:rsid w:val="0028401D"/>
    <w:rsid w:val="0028627F"/>
    <w:rsid w:val="0028687A"/>
    <w:rsid w:val="00290C67"/>
    <w:rsid w:val="00290F47"/>
    <w:rsid w:val="00291AB5"/>
    <w:rsid w:val="002927C9"/>
    <w:rsid w:val="00292A6D"/>
    <w:rsid w:val="00293D77"/>
    <w:rsid w:val="00296676"/>
    <w:rsid w:val="00296A65"/>
    <w:rsid w:val="002A530E"/>
    <w:rsid w:val="002A573E"/>
    <w:rsid w:val="002A5998"/>
    <w:rsid w:val="002A7BAB"/>
    <w:rsid w:val="002B10D2"/>
    <w:rsid w:val="002B179B"/>
    <w:rsid w:val="002B2B1C"/>
    <w:rsid w:val="002B332E"/>
    <w:rsid w:val="002B45DA"/>
    <w:rsid w:val="002B5539"/>
    <w:rsid w:val="002B590C"/>
    <w:rsid w:val="002B65CA"/>
    <w:rsid w:val="002B6D0C"/>
    <w:rsid w:val="002B7AD0"/>
    <w:rsid w:val="002C0DAD"/>
    <w:rsid w:val="002C26EB"/>
    <w:rsid w:val="002C411F"/>
    <w:rsid w:val="002C42FC"/>
    <w:rsid w:val="002C4F07"/>
    <w:rsid w:val="002C54CC"/>
    <w:rsid w:val="002D0283"/>
    <w:rsid w:val="002D281E"/>
    <w:rsid w:val="002D4483"/>
    <w:rsid w:val="002D4820"/>
    <w:rsid w:val="002D541D"/>
    <w:rsid w:val="002D67B2"/>
    <w:rsid w:val="002D6FD6"/>
    <w:rsid w:val="002D7D68"/>
    <w:rsid w:val="002D7D8D"/>
    <w:rsid w:val="002E13AE"/>
    <w:rsid w:val="002E1A08"/>
    <w:rsid w:val="002E2DB1"/>
    <w:rsid w:val="002E3D78"/>
    <w:rsid w:val="002E42A5"/>
    <w:rsid w:val="002E5981"/>
    <w:rsid w:val="002F24DD"/>
    <w:rsid w:val="002F2F96"/>
    <w:rsid w:val="002F550F"/>
    <w:rsid w:val="002F6012"/>
    <w:rsid w:val="002F7B2D"/>
    <w:rsid w:val="00300ACB"/>
    <w:rsid w:val="00300E09"/>
    <w:rsid w:val="00303B41"/>
    <w:rsid w:val="00304A7D"/>
    <w:rsid w:val="00307B8C"/>
    <w:rsid w:val="00312A25"/>
    <w:rsid w:val="00314EB8"/>
    <w:rsid w:val="00315E4A"/>
    <w:rsid w:val="00315F03"/>
    <w:rsid w:val="003207C1"/>
    <w:rsid w:val="00321490"/>
    <w:rsid w:val="00322B11"/>
    <w:rsid w:val="00323B44"/>
    <w:rsid w:val="003249C3"/>
    <w:rsid w:val="003259CE"/>
    <w:rsid w:val="00325D1B"/>
    <w:rsid w:val="00332C9D"/>
    <w:rsid w:val="00332F41"/>
    <w:rsid w:val="003351FF"/>
    <w:rsid w:val="0033534C"/>
    <w:rsid w:val="003361A5"/>
    <w:rsid w:val="00336784"/>
    <w:rsid w:val="00337136"/>
    <w:rsid w:val="0034024D"/>
    <w:rsid w:val="00342101"/>
    <w:rsid w:val="00345C25"/>
    <w:rsid w:val="003464BB"/>
    <w:rsid w:val="00346CF3"/>
    <w:rsid w:val="00346F88"/>
    <w:rsid w:val="003500F3"/>
    <w:rsid w:val="003511C8"/>
    <w:rsid w:val="003528FE"/>
    <w:rsid w:val="003553A5"/>
    <w:rsid w:val="00355976"/>
    <w:rsid w:val="00357224"/>
    <w:rsid w:val="003608BE"/>
    <w:rsid w:val="00361B3C"/>
    <w:rsid w:val="0036269E"/>
    <w:rsid w:val="0036307B"/>
    <w:rsid w:val="00363B56"/>
    <w:rsid w:val="00363EE0"/>
    <w:rsid w:val="0036420F"/>
    <w:rsid w:val="003645E3"/>
    <w:rsid w:val="00365C3F"/>
    <w:rsid w:val="00366036"/>
    <w:rsid w:val="00366C29"/>
    <w:rsid w:val="003673B7"/>
    <w:rsid w:val="003708B8"/>
    <w:rsid w:val="00371DE9"/>
    <w:rsid w:val="003729F4"/>
    <w:rsid w:val="00373C55"/>
    <w:rsid w:val="00374D9F"/>
    <w:rsid w:val="00375BAC"/>
    <w:rsid w:val="003776F9"/>
    <w:rsid w:val="003808C3"/>
    <w:rsid w:val="0038190C"/>
    <w:rsid w:val="00381A83"/>
    <w:rsid w:val="00383F24"/>
    <w:rsid w:val="00384F14"/>
    <w:rsid w:val="00387217"/>
    <w:rsid w:val="00390409"/>
    <w:rsid w:val="003907FE"/>
    <w:rsid w:val="00390E2F"/>
    <w:rsid w:val="0039258F"/>
    <w:rsid w:val="003941AE"/>
    <w:rsid w:val="00395592"/>
    <w:rsid w:val="00396674"/>
    <w:rsid w:val="003968D0"/>
    <w:rsid w:val="00396C57"/>
    <w:rsid w:val="003972D9"/>
    <w:rsid w:val="003A20DE"/>
    <w:rsid w:val="003A2694"/>
    <w:rsid w:val="003A3119"/>
    <w:rsid w:val="003A3E6A"/>
    <w:rsid w:val="003A46C1"/>
    <w:rsid w:val="003A58FE"/>
    <w:rsid w:val="003A67C4"/>
    <w:rsid w:val="003B1672"/>
    <w:rsid w:val="003B2550"/>
    <w:rsid w:val="003B3AE3"/>
    <w:rsid w:val="003B6E38"/>
    <w:rsid w:val="003B7401"/>
    <w:rsid w:val="003B7AB9"/>
    <w:rsid w:val="003C097F"/>
    <w:rsid w:val="003C09E3"/>
    <w:rsid w:val="003C344E"/>
    <w:rsid w:val="003C36E7"/>
    <w:rsid w:val="003C5A21"/>
    <w:rsid w:val="003C6D05"/>
    <w:rsid w:val="003C713A"/>
    <w:rsid w:val="003C7621"/>
    <w:rsid w:val="003D10B6"/>
    <w:rsid w:val="003D14A8"/>
    <w:rsid w:val="003D1C38"/>
    <w:rsid w:val="003D3D97"/>
    <w:rsid w:val="003D407C"/>
    <w:rsid w:val="003D4325"/>
    <w:rsid w:val="003D47AE"/>
    <w:rsid w:val="003D5AE9"/>
    <w:rsid w:val="003D63D9"/>
    <w:rsid w:val="003D6674"/>
    <w:rsid w:val="003D6987"/>
    <w:rsid w:val="003D6FA7"/>
    <w:rsid w:val="003D739D"/>
    <w:rsid w:val="003D7F4F"/>
    <w:rsid w:val="003E0E77"/>
    <w:rsid w:val="003E12D8"/>
    <w:rsid w:val="003E22EE"/>
    <w:rsid w:val="003E2335"/>
    <w:rsid w:val="003E2638"/>
    <w:rsid w:val="003E2A45"/>
    <w:rsid w:val="003E32F4"/>
    <w:rsid w:val="003E3477"/>
    <w:rsid w:val="003E41A4"/>
    <w:rsid w:val="003E43AE"/>
    <w:rsid w:val="003E4DCF"/>
    <w:rsid w:val="003E7285"/>
    <w:rsid w:val="003E7442"/>
    <w:rsid w:val="003F0468"/>
    <w:rsid w:val="003F152D"/>
    <w:rsid w:val="003F1FC9"/>
    <w:rsid w:val="003F20F5"/>
    <w:rsid w:val="003F3716"/>
    <w:rsid w:val="003F3D94"/>
    <w:rsid w:val="003F77DA"/>
    <w:rsid w:val="00401524"/>
    <w:rsid w:val="00402960"/>
    <w:rsid w:val="00403FE1"/>
    <w:rsid w:val="00405907"/>
    <w:rsid w:val="00405E4C"/>
    <w:rsid w:val="0040658A"/>
    <w:rsid w:val="004069D1"/>
    <w:rsid w:val="004114C1"/>
    <w:rsid w:val="0041233D"/>
    <w:rsid w:val="00413517"/>
    <w:rsid w:val="0041397D"/>
    <w:rsid w:val="0041475B"/>
    <w:rsid w:val="00414C1F"/>
    <w:rsid w:val="00416B0C"/>
    <w:rsid w:val="0041770B"/>
    <w:rsid w:val="00420971"/>
    <w:rsid w:val="00420A2D"/>
    <w:rsid w:val="0042183F"/>
    <w:rsid w:val="004227DE"/>
    <w:rsid w:val="0042358D"/>
    <w:rsid w:val="0042431C"/>
    <w:rsid w:val="0042657F"/>
    <w:rsid w:val="004266EF"/>
    <w:rsid w:val="00427468"/>
    <w:rsid w:val="00430A65"/>
    <w:rsid w:val="004315FA"/>
    <w:rsid w:val="00432672"/>
    <w:rsid w:val="004358FE"/>
    <w:rsid w:val="004368E2"/>
    <w:rsid w:val="00437A91"/>
    <w:rsid w:val="00437D2D"/>
    <w:rsid w:val="00440580"/>
    <w:rsid w:val="00440921"/>
    <w:rsid w:val="00441FFF"/>
    <w:rsid w:val="0044269C"/>
    <w:rsid w:val="00444CE2"/>
    <w:rsid w:val="00444D4D"/>
    <w:rsid w:val="004450EB"/>
    <w:rsid w:val="004465BE"/>
    <w:rsid w:val="0045133A"/>
    <w:rsid w:val="00451C9E"/>
    <w:rsid w:val="00452993"/>
    <w:rsid w:val="00452CD2"/>
    <w:rsid w:val="00453091"/>
    <w:rsid w:val="0045333F"/>
    <w:rsid w:val="00457E5E"/>
    <w:rsid w:val="004603E1"/>
    <w:rsid w:val="0046170E"/>
    <w:rsid w:val="0046246D"/>
    <w:rsid w:val="00462FD4"/>
    <w:rsid w:val="004634D5"/>
    <w:rsid w:val="00467561"/>
    <w:rsid w:val="00467826"/>
    <w:rsid w:val="0047183E"/>
    <w:rsid w:val="004724A7"/>
    <w:rsid w:val="00472EB5"/>
    <w:rsid w:val="00474AC1"/>
    <w:rsid w:val="00480764"/>
    <w:rsid w:val="00480829"/>
    <w:rsid w:val="00481209"/>
    <w:rsid w:val="00481C9C"/>
    <w:rsid w:val="004835A7"/>
    <w:rsid w:val="00483ED7"/>
    <w:rsid w:val="00484BBF"/>
    <w:rsid w:val="004859BF"/>
    <w:rsid w:val="00487129"/>
    <w:rsid w:val="00487DEE"/>
    <w:rsid w:val="00493C6A"/>
    <w:rsid w:val="00495040"/>
    <w:rsid w:val="00496248"/>
    <w:rsid w:val="0049674A"/>
    <w:rsid w:val="00496795"/>
    <w:rsid w:val="00497A67"/>
    <w:rsid w:val="00497F66"/>
    <w:rsid w:val="004A0243"/>
    <w:rsid w:val="004A1753"/>
    <w:rsid w:val="004A558D"/>
    <w:rsid w:val="004A6B76"/>
    <w:rsid w:val="004A6C72"/>
    <w:rsid w:val="004B0028"/>
    <w:rsid w:val="004B0612"/>
    <w:rsid w:val="004B128C"/>
    <w:rsid w:val="004B31E6"/>
    <w:rsid w:val="004B419E"/>
    <w:rsid w:val="004B45E4"/>
    <w:rsid w:val="004B6228"/>
    <w:rsid w:val="004B6CF8"/>
    <w:rsid w:val="004C06B1"/>
    <w:rsid w:val="004C0BB7"/>
    <w:rsid w:val="004C23AD"/>
    <w:rsid w:val="004C33EC"/>
    <w:rsid w:val="004C43EE"/>
    <w:rsid w:val="004C4DE2"/>
    <w:rsid w:val="004C57D4"/>
    <w:rsid w:val="004C6FED"/>
    <w:rsid w:val="004D0A69"/>
    <w:rsid w:val="004D1AA2"/>
    <w:rsid w:val="004D2AE9"/>
    <w:rsid w:val="004D2C31"/>
    <w:rsid w:val="004D4204"/>
    <w:rsid w:val="004D446B"/>
    <w:rsid w:val="004D4618"/>
    <w:rsid w:val="004D4C1F"/>
    <w:rsid w:val="004D74BF"/>
    <w:rsid w:val="004E0085"/>
    <w:rsid w:val="004E159F"/>
    <w:rsid w:val="004E23C6"/>
    <w:rsid w:val="004E24D9"/>
    <w:rsid w:val="004E354F"/>
    <w:rsid w:val="004E5606"/>
    <w:rsid w:val="004F12C5"/>
    <w:rsid w:val="004F27CA"/>
    <w:rsid w:val="004F2974"/>
    <w:rsid w:val="004F2D81"/>
    <w:rsid w:val="004F3CBB"/>
    <w:rsid w:val="004F4E8C"/>
    <w:rsid w:val="005016A0"/>
    <w:rsid w:val="00503DFB"/>
    <w:rsid w:val="00504A8B"/>
    <w:rsid w:val="0050564D"/>
    <w:rsid w:val="00505BA3"/>
    <w:rsid w:val="00507E3A"/>
    <w:rsid w:val="00510C16"/>
    <w:rsid w:val="00511801"/>
    <w:rsid w:val="00511F54"/>
    <w:rsid w:val="005123CB"/>
    <w:rsid w:val="0051274D"/>
    <w:rsid w:val="00512E95"/>
    <w:rsid w:val="0051646E"/>
    <w:rsid w:val="00517852"/>
    <w:rsid w:val="00520B1F"/>
    <w:rsid w:val="00522EBE"/>
    <w:rsid w:val="00523855"/>
    <w:rsid w:val="00526ACD"/>
    <w:rsid w:val="00526E7F"/>
    <w:rsid w:val="00527643"/>
    <w:rsid w:val="00527A87"/>
    <w:rsid w:val="00527A89"/>
    <w:rsid w:val="0053234A"/>
    <w:rsid w:val="00533D05"/>
    <w:rsid w:val="00534141"/>
    <w:rsid w:val="00534405"/>
    <w:rsid w:val="00534520"/>
    <w:rsid w:val="00535B6F"/>
    <w:rsid w:val="00537B2E"/>
    <w:rsid w:val="00541094"/>
    <w:rsid w:val="00541F10"/>
    <w:rsid w:val="005421CF"/>
    <w:rsid w:val="0054492B"/>
    <w:rsid w:val="0054564F"/>
    <w:rsid w:val="00547434"/>
    <w:rsid w:val="0054784F"/>
    <w:rsid w:val="0055099D"/>
    <w:rsid w:val="00550D26"/>
    <w:rsid w:val="00552079"/>
    <w:rsid w:val="00552982"/>
    <w:rsid w:val="00553A6A"/>
    <w:rsid w:val="005556D6"/>
    <w:rsid w:val="0055573B"/>
    <w:rsid w:val="005563F2"/>
    <w:rsid w:val="0055685C"/>
    <w:rsid w:val="00556BAA"/>
    <w:rsid w:val="005570AC"/>
    <w:rsid w:val="00557BB3"/>
    <w:rsid w:val="00560049"/>
    <w:rsid w:val="005610A3"/>
    <w:rsid w:val="005622AB"/>
    <w:rsid w:val="00564F8D"/>
    <w:rsid w:val="00566BDE"/>
    <w:rsid w:val="005672BA"/>
    <w:rsid w:val="00570D09"/>
    <w:rsid w:val="00573A97"/>
    <w:rsid w:val="00573E80"/>
    <w:rsid w:val="00574901"/>
    <w:rsid w:val="0057497E"/>
    <w:rsid w:val="00575160"/>
    <w:rsid w:val="00580863"/>
    <w:rsid w:val="00581C86"/>
    <w:rsid w:val="00583596"/>
    <w:rsid w:val="005835BD"/>
    <w:rsid w:val="0058412B"/>
    <w:rsid w:val="005854FA"/>
    <w:rsid w:val="005936A1"/>
    <w:rsid w:val="00593FD9"/>
    <w:rsid w:val="00594728"/>
    <w:rsid w:val="00594D9B"/>
    <w:rsid w:val="00596456"/>
    <w:rsid w:val="00596BF7"/>
    <w:rsid w:val="00597FF0"/>
    <w:rsid w:val="005A0268"/>
    <w:rsid w:val="005A05AD"/>
    <w:rsid w:val="005A0C8E"/>
    <w:rsid w:val="005A1799"/>
    <w:rsid w:val="005A50ED"/>
    <w:rsid w:val="005A7060"/>
    <w:rsid w:val="005B0220"/>
    <w:rsid w:val="005B118B"/>
    <w:rsid w:val="005B2883"/>
    <w:rsid w:val="005B2CD6"/>
    <w:rsid w:val="005B417E"/>
    <w:rsid w:val="005B7FCF"/>
    <w:rsid w:val="005C1616"/>
    <w:rsid w:val="005C1D4E"/>
    <w:rsid w:val="005C2DB1"/>
    <w:rsid w:val="005C32E1"/>
    <w:rsid w:val="005C3753"/>
    <w:rsid w:val="005C60E3"/>
    <w:rsid w:val="005C7050"/>
    <w:rsid w:val="005D17C5"/>
    <w:rsid w:val="005D253F"/>
    <w:rsid w:val="005D311F"/>
    <w:rsid w:val="005D36BD"/>
    <w:rsid w:val="005D3E39"/>
    <w:rsid w:val="005E09B5"/>
    <w:rsid w:val="005E2D8B"/>
    <w:rsid w:val="005F1600"/>
    <w:rsid w:val="005F1D6C"/>
    <w:rsid w:val="005F2943"/>
    <w:rsid w:val="005F2D62"/>
    <w:rsid w:val="005F59FC"/>
    <w:rsid w:val="005F5A40"/>
    <w:rsid w:val="005F7AC2"/>
    <w:rsid w:val="006004B0"/>
    <w:rsid w:val="0060081C"/>
    <w:rsid w:val="00601AED"/>
    <w:rsid w:val="00602902"/>
    <w:rsid w:val="00602969"/>
    <w:rsid w:val="006044C6"/>
    <w:rsid w:val="0061258F"/>
    <w:rsid w:val="0061282B"/>
    <w:rsid w:val="006134D7"/>
    <w:rsid w:val="00614503"/>
    <w:rsid w:val="00614C4B"/>
    <w:rsid w:val="00615BCC"/>
    <w:rsid w:val="00616336"/>
    <w:rsid w:val="00617569"/>
    <w:rsid w:val="0061764B"/>
    <w:rsid w:val="0062021F"/>
    <w:rsid w:val="00621112"/>
    <w:rsid w:val="00621465"/>
    <w:rsid w:val="00622CDC"/>
    <w:rsid w:val="00624499"/>
    <w:rsid w:val="006255A0"/>
    <w:rsid w:val="00625872"/>
    <w:rsid w:val="0062647D"/>
    <w:rsid w:val="0062699B"/>
    <w:rsid w:val="006327D6"/>
    <w:rsid w:val="0064218E"/>
    <w:rsid w:val="006430D3"/>
    <w:rsid w:val="00645418"/>
    <w:rsid w:val="00646E90"/>
    <w:rsid w:val="00647803"/>
    <w:rsid w:val="00647CA9"/>
    <w:rsid w:val="0065069C"/>
    <w:rsid w:val="00650E57"/>
    <w:rsid w:val="00652D2C"/>
    <w:rsid w:val="006551E7"/>
    <w:rsid w:val="00655424"/>
    <w:rsid w:val="006558F1"/>
    <w:rsid w:val="006566AF"/>
    <w:rsid w:val="006601B6"/>
    <w:rsid w:val="0066078D"/>
    <w:rsid w:val="00663348"/>
    <w:rsid w:val="006638F3"/>
    <w:rsid w:val="00664DFD"/>
    <w:rsid w:val="00666831"/>
    <w:rsid w:val="0067038A"/>
    <w:rsid w:val="00671E8F"/>
    <w:rsid w:val="00672652"/>
    <w:rsid w:val="006744C5"/>
    <w:rsid w:val="00674FBE"/>
    <w:rsid w:val="006758D0"/>
    <w:rsid w:val="0067601C"/>
    <w:rsid w:val="00676435"/>
    <w:rsid w:val="0067703C"/>
    <w:rsid w:val="006775DD"/>
    <w:rsid w:val="006778F5"/>
    <w:rsid w:val="00683A25"/>
    <w:rsid w:val="00683E10"/>
    <w:rsid w:val="00684AC3"/>
    <w:rsid w:val="0068642F"/>
    <w:rsid w:val="00687E69"/>
    <w:rsid w:val="006905B6"/>
    <w:rsid w:val="006908D9"/>
    <w:rsid w:val="006930A0"/>
    <w:rsid w:val="0069374B"/>
    <w:rsid w:val="00693AD1"/>
    <w:rsid w:val="00693C96"/>
    <w:rsid w:val="006949F6"/>
    <w:rsid w:val="00694C30"/>
    <w:rsid w:val="00695585"/>
    <w:rsid w:val="00695BAB"/>
    <w:rsid w:val="00695EE1"/>
    <w:rsid w:val="00697DB9"/>
    <w:rsid w:val="006A15A6"/>
    <w:rsid w:val="006A4B63"/>
    <w:rsid w:val="006A4E26"/>
    <w:rsid w:val="006A7954"/>
    <w:rsid w:val="006B239F"/>
    <w:rsid w:val="006B3232"/>
    <w:rsid w:val="006B3DD0"/>
    <w:rsid w:val="006B49E6"/>
    <w:rsid w:val="006B4DB5"/>
    <w:rsid w:val="006B5BA3"/>
    <w:rsid w:val="006B68AC"/>
    <w:rsid w:val="006C01C2"/>
    <w:rsid w:val="006C135B"/>
    <w:rsid w:val="006C1502"/>
    <w:rsid w:val="006C229E"/>
    <w:rsid w:val="006C2568"/>
    <w:rsid w:val="006C424A"/>
    <w:rsid w:val="006C611E"/>
    <w:rsid w:val="006C634E"/>
    <w:rsid w:val="006C728A"/>
    <w:rsid w:val="006C78DB"/>
    <w:rsid w:val="006C7E5B"/>
    <w:rsid w:val="006D0BD3"/>
    <w:rsid w:val="006D0C7D"/>
    <w:rsid w:val="006D1021"/>
    <w:rsid w:val="006D298C"/>
    <w:rsid w:val="006D326C"/>
    <w:rsid w:val="006D32F4"/>
    <w:rsid w:val="006D3A74"/>
    <w:rsid w:val="006D4AEB"/>
    <w:rsid w:val="006D52E9"/>
    <w:rsid w:val="006D6754"/>
    <w:rsid w:val="006D7D15"/>
    <w:rsid w:val="006E01D2"/>
    <w:rsid w:val="006E04C1"/>
    <w:rsid w:val="006E07D7"/>
    <w:rsid w:val="006E105F"/>
    <w:rsid w:val="006E3DED"/>
    <w:rsid w:val="006E52AD"/>
    <w:rsid w:val="006E6031"/>
    <w:rsid w:val="006E689E"/>
    <w:rsid w:val="006E7460"/>
    <w:rsid w:val="006F0A7E"/>
    <w:rsid w:val="006F0FAB"/>
    <w:rsid w:val="006F2CE7"/>
    <w:rsid w:val="006F4DE9"/>
    <w:rsid w:val="006F504F"/>
    <w:rsid w:val="007002E1"/>
    <w:rsid w:val="00700AAF"/>
    <w:rsid w:val="00701E1B"/>
    <w:rsid w:val="007022C3"/>
    <w:rsid w:val="00704BCE"/>
    <w:rsid w:val="00705950"/>
    <w:rsid w:val="00707DE3"/>
    <w:rsid w:val="00710FA8"/>
    <w:rsid w:val="007127AF"/>
    <w:rsid w:val="007128FB"/>
    <w:rsid w:val="00712FCF"/>
    <w:rsid w:val="0071308F"/>
    <w:rsid w:val="007133A1"/>
    <w:rsid w:val="00713951"/>
    <w:rsid w:val="00713AE0"/>
    <w:rsid w:val="00714972"/>
    <w:rsid w:val="00714CAF"/>
    <w:rsid w:val="0071666E"/>
    <w:rsid w:val="00717038"/>
    <w:rsid w:val="00720574"/>
    <w:rsid w:val="0072286D"/>
    <w:rsid w:val="00722F0A"/>
    <w:rsid w:val="00723FAC"/>
    <w:rsid w:val="00726202"/>
    <w:rsid w:val="00726545"/>
    <w:rsid w:val="00727757"/>
    <w:rsid w:val="00727E6B"/>
    <w:rsid w:val="007315BD"/>
    <w:rsid w:val="00731B8D"/>
    <w:rsid w:val="00732A61"/>
    <w:rsid w:val="00734706"/>
    <w:rsid w:val="007350A1"/>
    <w:rsid w:val="007353DA"/>
    <w:rsid w:val="00735570"/>
    <w:rsid w:val="007355A8"/>
    <w:rsid w:val="007356EC"/>
    <w:rsid w:val="0074071E"/>
    <w:rsid w:val="00741DEC"/>
    <w:rsid w:val="00742010"/>
    <w:rsid w:val="007443C9"/>
    <w:rsid w:val="00744882"/>
    <w:rsid w:val="00745019"/>
    <w:rsid w:val="007467C9"/>
    <w:rsid w:val="00747D30"/>
    <w:rsid w:val="00750EA5"/>
    <w:rsid w:val="00753974"/>
    <w:rsid w:val="00753E96"/>
    <w:rsid w:val="00754487"/>
    <w:rsid w:val="00754545"/>
    <w:rsid w:val="00755E33"/>
    <w:rsid w:val="00756FF3"/>
    <w:rsid w:val="007570F7"/>
    <w:rsid w:val="007572E2"/>
    <w:rsid w:val="00760B34"/>
    <w:rsid w:val="00763059"/>
    <w:rsid w:val="00763704"/>
    <w:rsid w:val="0076401E"/>
    <w:rsid w:val="007640C3"/>
    <w:rsid w:val="00764282"/>
    <w:rsid w:val="00764B0F"/>
    <w:rsid w:val="00764C72"/>
    <w:rsid w:val="007667BC"/>
    <w:rsid w:val="00767E6F"/>
    <w:rsid w:val="0077021A"/>
    <w:rsid w:val="00770947"/>
    <w:rsid w:val="00770E1F"/>
    <w:rsid w:val="00771934"/>
    <w:rsid w:val="007779E9"/>
    <w:rsid w:val="00777CBE"/>
    <w:rsid w:val="00780DEF"/>
    <w:rsid w:val="0078110E"/>
    <w:rsid w:val="00781CDD"/>
    <w:rsid w:val="00781E69"/>
    <w:rsid w:val="00786138"/>
    <w:rsid w:val="007861FC"/>
    <w:rsid w:val="00790ABD"/>
    <w:rsid w:val="00791717"/>
    <w:rsid w:val="00792460"/>
    <w:rsid w:val="00792CD6"/>
    <w:rsid w:val="007933F6"/>
    <w:rsid w:val="00793D9E"/>
    <w:rsid w:val="0079423C"/>
    <w:rsid w:val="007946F8"/>
    <w:rsid w:val="007956A8"/>
    <w:rsid w:val="00795D21"/>
    <w:rsid w:val="00796B3B"/>
    <w:rsid w:val="00797802"/>
    <w:rsid w:val="007A1605"/>
    <w:rsid w:val="007A16F6"/>
    <w:rsid w:val="007A1F9F"/>
    <w:rsid w:val="007A2FDA"/>
    <w:rsid w:val="007A3A8B"/>
    <w:rsid w:val="007A4423"/>
    <w:rsid w:val="007A500F"/>
    <w:rsid w:val="007A6009"/>
    <w:rsid w:val="007A6941"/>
    <w:rsid w:val="007A7530"/>
    <w:rsid w:val="007B0566"/>
    <w:rsid w:val="007B42CF"/>
    <w:rsid w:val="007B4C51"/>
    <w:rsid w:val="007B5413"/>
    <w:rsid w:val="007B594E"/>
    <w:rsid w:val="007B5F12"/>
    <w:rsid w:val="007B6CB8"/>
    <w:rsid w:val="007B709F"/>
    <w:rsid w:val="007B7EF6"/>
    <w:rsid w:val="007C181B"/>
    <w:rsid w:val="007C19B8"/>
    <w:rsid w:val="007C26F1"/>
    <w:rsid w:val="007C5BD8"/>
    <w:rsid w:val="007C64A2"/>
    <w:rsid w:val="007C6BFB"/>
    <w:rsid w:val="007C6FF7"/>
    <w:rsid w:val="007D0FB4"/>
    <w:rsid w:val="007D3A39"/>
    <w:rsid w:val="007D402D"/>
    <w:rsid w:val="007D71E5"/>
    <w:rsid w:val="007E2B0C"/>
    <w:rsid w:val="007E2C38"/>
    <w:rsid w:val="007E38AA"/>
    <w:rsid w:val="007E5517"/>
    <w:rsid w:val="007E6BCD"/>
    <w:rsid w:val="007F15EF"/>
    <w:rsid w:val="007F1B4F"/>
    <w:rsid w:val="008002FD"/>
    <w:rsid w:val="00800B33"/>
    <w:rsid w:val="00802CF9"/>
    <w:rsid w:val="0080459A"/>
    <w:rsid w:val="00804888"/>
    <w:rsid w:val="00806191"/>
    <w:rsid w:val="00806DCA"/>
    <w:rsid w:val="008115F9"/>
    <w:rsid w:val="00814813"/>
    <w:rsid w:val="00814ABC"/>
    <w:rsid w:val="008150EE"/>
    <w:rsid w:val="00817ACD"/>
    <w:rsid w:val="0082050B"/>
    <w:rsid w:val="0082116D"/>
    <w:rsid w:val="00821B15"/>
    <w:rsid w:val="00823ED6"/>
    <w:rsid w:val="00824328"/>
    <w:rsid w:val="0082443B"/>
    <w:rsid w:val="00824B72"/>
    <w:rsid w:val="00826035"/>
    <w:rsid w:val="00826E5C"/>
    <w:rsid w:val="00830757"/>
    <w:rsid w:val="00832AAC"/>
    <w:rsid w:val="00833CA1"/>
    <w:rsid w:val="0083410E"/>
    <w:rsid w:val="00835215"/>
    <w:rsid w:val="00835E9E"/>
    <w:rsid w:val="008364B7"/>
    <w:rsid w:val="00836E1B"/>
    <w:rsid w:val="00836F5F"/>
    <w:rsid w:val="00837744"/>
    <w:rsid w:val="00837E18"/>
    <w:rsid w:val="00837E3E"/>
    <w:rsid w:val="008402CD"/>
    <w:rsid w:val="00840C83"/>
    <w:rsid w:val="00841931"/>
    <w:rsid w:val="00843046"/>
    <w:rsid w:val="00843A55"/>
    <w:rsid w:val="00843E27"/>
    <w:rsid w:val="008456CA"/>
    <w:rsid w:val="00845F39"/>
    <w:rsid w:val="0084721B"/>
    <w:rsid w:val="0084788F"/>
    <w:rsid w:val="008508D4"/>
    <w:rsid w:val="00850907"/>
    <w:rsid w:val="00850DAB"/>
    <w:rsid w:val="00851007"/>
    <w:rsid w:val="00851866"/>
    <w:rsid w:val="00852770"/>
    <w:rsid w:val="0085317A"/>
    <w:rsid w:val="00853C63"/>
    <w:rsid w:val="00855083"/>
    <w:rsid w:val="008562A4"/>
    <w:rsid w:val="00856757"/>
    <w:rsid w:val="008571DE"/>
    <w:rsid w:val="00857450"/>
    <w:rsid w:val="008603D1"/>
    <w:rsid w:val="00860536"/>
    <w:rsid w:val="00861FDA"/>
    <w:rsid w:val="00862B03"/>
    <w:rsid w:val="00862C3A"/>
    <w:rsid w:val="00863990"/>
    <w:rsid w:val="00865334"/>
    <w:rsid w:val="00865353"/>
    <w:rsid w:val="008672DD"/>
    <w:rsid w:val="00870853"/>
    <w:rsid w:val="0087194A"/>
    <w:rsid w:val="00872586"/>
    <w:rsid w:val="00873804"/>
    <w:rsid w:val="008740BB"/>
    <w:rsid w:val="008752C9"/>
    <w:rsid w:val="00876E1B"/>
    <w:rsid w:val="00877EB6"/>
    <w:rsid w:val="00881B20"/>
    <w:rsid w:val="00882088"/>
    <w:rsid w:val="008821C9"/>
    <w:rsid w:val="008830A1"/>
    <w:rsid w:val="008835D0"/>
    <w:rsid w:val="00883BF7"/>
    <w:rsid w:val="0088521D"/>
    <w:rsid w:val="00885B61"/>
    <w:rsid w:val="00886F4C"/>
    <w:rsid w:val="00887F48"/>
    <w:rsid w:val="00893991"/>
    <w:rsid w:val="00893D41"/>
    <w:rsid w:val="008941FD"/>
    <w:rsid w:val="00895584"/>
    <w:rsid w:val="0089724D"/>
    <w:rsid w:val="008975AE"/>
    <w:rsid w:val="008A04CF"/>
    <w:rsid w:val="008A3490"/>
    <w:rsid w:val="008A3F7A"/>
    <w:rsid w:val="008A5FE5"/>
    <w:rsid w:val="008B064D"/>
    <w:rsid w:val="008B07D4"/>
    <w:rsid w:val="008B3E1D"/>
    <w:rsid w:val="008B3EE5"/>
    <w:rsid w:val="008C1245"/>
    <w:rsid w:val="008C2D67"/>
    <w:rsid w:val="008C3215"/>
    <w:rsid w:val="008C3C5D"/>
    <w:rsid w:val="008C6E3E"/>
    <w:rsid w:val="008C7473"/>
    <w:rsid w:val="008C7939"/>
    <w:rsid w:val="008C7E18"/>
    <w:rsid w:val="008D5C82"/>
    <w:rsid w:val="008D658D"/>
    <w:rsid w:val="008D676E"/>
    <w:rsid w:val="008E5567"/>
    <w:rsid w:val="008E5B74"/>
    <w:rsid w:val="008E5E6F"/>
    <w:rsid w:val="008F0539"/>
    <w:rsid w:val="008F0E83"/>
    <w:rsid w:val="008F1F82"/>
    <w:rsid w:val="008F4C18"/>
    <w:rsid w:val="008F59D0"/>
    <w:rsid w:val="009009B9"/>
    <w:rsid w:val="00901A84"/>
    <w:rsid w:val="009034A2"/>
    <w:rsid w:val="009038D4"/>
    <w:rsid w:val="00903FAF"/>
    <w:rsid w:val="00905CF0"/>
    <w:rsid w:val="009063BD"/>
    <w:rsid w:val="00911C98"/>
    <w:rsid w:val="00912F73"/>
    <w:rsid w:val="00913333"/>
    <w:rsid w:val="00914670"/>
    <w:rsid w:val="00914FE2"/>
    <w:rsid w:val="00915784"/>
    <w:rsid w:val="009162C3"/>
    <w:rsid w:val="00920061"/>
    <w:rsid w:val="00920B50"/>
    <w:rsid w:val="009214F5"/>
    <w:rsid w:val="00921537"/>
    <w:rsid w:val="009227C6"/>
    <w:rsid w:val="00922F0B"/>
    <w:rsid w:val="00923695"/>
    <w:rsid w:val="00926D93"/>
    <w:rsid w:val="009305B2"/>
    <w:rsid w:val="009306BF"/>
    <w:rsid w:val="00931247"/>
    <w:rsid w:val="009312CB"/>
    <w:rsid w:val="00934DCA"/>
    <w:rsid w:val="00934F86"/>
    <w:rsid w:val="00935984"/>
    <w:rsid w:val="009361DC"/>
    <w:rsid w:val="009367D3"/>
    <w:rsid w:val="00936ECA"/>
    <w:rsid w:val="0094051C"/>
    <w:rsid w:val="00942B89"/>
    <w:rsid w:val="0094598C"/>
    <w:rsid w:val="009513FE"/>
    <w:rsid w:val="009514D9"/>
    <w:rsid w:val="00952607"/>
    <w:rsid w:val="00953B16"/>
    <w:rsid w:val="0095563F"/>
    <w:rsid w:val="0096228E"/>
    <w:rsid w:val="0096522F"/>
    <w:rsid w:val="009671E5"/>
    <w:rsid w:val="00967BE2"/>
    <w:rsid w:val="00970D1A"/>
    <w:rsid w:val="00971159"/>
    <w:rsid w:val="00972A5D"/>
    <w:rsid w:val="00973188"/>
    <w:rsid w:val="00973317"/>
    <w:rsid w:val="00973445"/>
    <w:rsid w:val="0097361C"/>
    <w:rsid w:val="00973E77"/>
    <w:rsid w:val="00974088"/>
    <w:rsid w:val="009754B5"/>
    <w:rsid w:val="009755DA"/>
    <w:rsid w:val="00976854"/>
    <w:rsid w:val="009802DF"/>
    <w:rsid w:val="00981A2F"/>
    <w:rsid w:val="00982976"/>
    <w:rsid w:val="00982ED8"/>
    <w:rsid w:val="0098434C"/>
    <w:rsid w:val="009843D0"/>
    <w:rsid w:val="009852D4"/>
    <w:rsid w:val="00985993"/>
    <w:rsid w:val="00990BB5"/>
    <w:rsid w:val="0099181D"/>
    <w:rsid w:val="00992D5E"/>
    <w:rsid w:val="009934DB"/>
    <w:rsid w:val="00994843"/>
    <w:rsid w:val="00995002"/>
    <w:rsid w:val="00995DAD"/>
    <w:rsid w:val="00996D57"/>
    <w:rsid w:val="00997894"/>
    <w:rsid w:val="009A02F1"/>
    <w:rsid w:val="009A0302"/>
    <w:rsid w:val="009A031A"/>
    <w:rsid w:val="009A0D57"/>
    <w:rsid w:val="009A27DF"/>
    <w:rsid w:val="009A3CB5"/>
    <w:rsid w:val="009A5511"/>
    <w:rsid w:val="009A58DC"/>
    <w:rsid w:val="009A59EE"/>
    <w:rsid w:val="009A5C1C"/>
    <w:rsid w:val="009A7365"/>
    <w:rsid w:val="009A7AEB"/>
    <w:rsid w:val="009B41CF"/>
    <w:rsid w:val="009B490B"/>
    <w:rsid w:val="009B4944"/>
    <w:rsid w:val="009B60BA"/>
    <w:rsid w:val="009B669F"/>
    <w:rsid w:val="009B6704"/>
    <w:rsid w:val="009B6A02"/>
    <w:rsid w:val="009B7A19"/>
    <w:rsid w:val="009B7B0D"/>
    <w:rsid w:val="009B7C09"/>
    <w:rsid w:val="009C2062"/>
    <w:rsid w:val="009C3F0F"/>
    <w:rsid w:val="009C49B7"/>
    <w:rsid w:val="009C5C7E"/>
    <w:rsid w:val="009C79DE"/>
    <w:rsid w:val="009D1006"/>
    <w:rsid w:val="009D3E31"/>
    <w:rsid w:val="009D5E55"/>
    <w:rsid w:val="009D634F"/>
    <w:rsid w:val="009E2C2D"/>
    <w:rsid w:val="009E4F58"/>
    <w:rsid w:val="009E5143"/>
    <w:rsid w:val="009E6926"/>
    <w:rsid w:val="009F206F"/>
    <w:rsid w:val="009F246C"/>
    <w:rsid w:val="009F29A6"/>
    <w:rsid w:val="009F3950"/>
    <w:rsid w:val="009F4DE9"/>
    <w:rsid w:val="009F742B"/>
    <w:rsid w:val="00A00179"/>
    <w:rsid w:val="00A0101E"/>
    <w:rsid w:val="00A0419B"/>
    <w:rsid w:val="00A04555"/>
    <w:rsid w:val="00A12321"/>
    <w:rsid w:val="00A12BDE"/>
    <w:rsid w:val="00A131B5"/>
    <w:rsid w:val="00A2038A"/>
    <w:rsid w:val="00A20572"/>
    <w:rsid w:val="00A20F05"/>
    <w:rsid w:val="00A210C4"/>
    <w:rsid w:val="00A236C0"/>
    <w:rsid w:val="00A2463D"/>
    <w:rsid w:val="00A25129"/>
    <w:rsid w:val="00A26E43"/>
    <w:rsid w:val="00A26F1C"/>
    <w:rsid w:val="00A34A39"/>
    <w:rsid w:val="00A354DC"/>
    <w:rsid w:val="00A43D92"/>
    <w:rsid w:val="00A44E15"/>
    <w:rsid w:val="00A44F59"/>
    <w:rsid w:val="00A4513C"/>
    <w:rsid w:val="00A45B47"/>
    <w:rsid w:val="00A46E3F"/>
    <w:rsid w:val="00A505AD"/>
    <w:rsid w:val="00A5520B"/>
    <w:rsid w:val="00A56AEA"/>
    <w:rsid w:val="00A60AF3"/>
    <w:rsid w:val="00A61F3D"/>
    <w:rsid w:val="00A62B42"/>
    <w:rsid w:val="00A62EDA"/>
    <w:rsid w:val="00A6382F"/>
    <w:rsid w:val="00A64F43"/>
    <w:rsid w:val="00A67996"/>
    <w:rsid w:val="00A67AF1"/>
    <w:rsid w:val="00A717C6"/>
    <w:rsid w:val="00A71F83"/>
    <w:rsid w:val="00A7452C"/>
    <w:rsid w:val="00A7587F"/>
    <w:rsid w:val="00A77F51"/>
    <w:rsid w:val="00A82248"/>
    <w:rsid w:val="00A825FD"/>
    <w:rsid w:val="00A82CB0"/>
    <w:rsid w:val="00A842A2"/>
    <w:rsid w:val="00A86F41"/>
    <w:rsid w:val="00A87F14"/>
    <w:rsid w:val="00A9112D"/>
    <w:rsid w:val="00A919CB"/>
    <w:rsid w:val="00A923BC"/>
    <w:rsid w:val="00A92423"/>
    <w:rsid w:val="00A93149"/>
    <w:rsid w:val="00A95618"/>
    <w:rsid w:val="00A965E6"/>
    <w:rsid w:val="00A97B91"/>
    <w:rsid w:val="00AA0596"/>
    <w:rsid w:val="00AA0A1B"/>
    <w:rsid w:val="00AA1E31"/>
    <w:rsid w:val="00AA2A15"/>
    <w:rsid w:val="00AA32CA"/>
    <w:rsid w:val="00AA5271"/>
    <w:rsid w:val="00AA5E03"/>
    <w:rsid w:val="00AA6174"/>
    <w:rsid w:val="00AA6CAD"/>
    <w:rsid w:val="00AA715D"/>
    <w:rsid w:val="00AB08C2"/>
    <w:rsid w:val="00AB15C5"/>
    <w:rsid w:val="00AB20B0"/>
    <w:rsid w:val="00AB37EE"/>
    <w:rsid w:val="00AB53FA"/>
    <w:rsid w:val="00AB5DCE"/>
    <w:rsid w:val="00AB6BB2"/>
    <w:rsid w:val="00AB7A02"/>
    <w:rsid w:val="00AC165C"/>
    <w:rsid w:val="00AC17A3"/>
    <w:rsid w:val="00AC2765"/>
    <w:rsid w:val="00AC3B09"/>
    <w:rsid w:val="00AC3C60"/>
    <w:rsid w:val="00AC4F64"/>
    <w:rsid w:val="00AC578C"/>
    <w:rsid w:val="00AC59B5"/>
    <w:rsid w:val="00AC75FE"/>
    <w:rsid w:val="00AD02DF"/>
    <w:rsid w:val="00AD0C09"/>
    <w:rsid w:val="00AD23F1"/>
    <w:rsid w:val="00AD2C80"/>
    <w:rsid w:val="00AD2DBA"/>
    <w:rsid w:val="00AD4B3F"/>
    <w:rsid w:val="00AD5CF5"/>
    <w:rsid w:val="00AD66C1"/>
    <w:rsid w:val="00AD6F1D"/>
    <w:rsid w:val="00AE1D4A"/>
    <w:rsid w:val="00AE2A23"/>
    <w:rsid w:val="00AE2C62"/>
    <w:rsid w:val="00AE3003"/>
    <w:rsid w:val="00AE381F"/>
    <w:rsid w:val="00AE3FA2"/>
    <w:rsid w:val="00AE4239"/>
    <w:rsid w:val="00AE4740"/>
    <w:rsid w:val="00AE4A8F"/>
    <w:rsid w:val="00AE4F04"/>
    <w:rsid w:val="00AE5D3F"/>
    <w:rsid w:val="00AE626B"/>
    <w:rsid w:val="00AE762E"/>
    <w:rsid w:val="00AE79D9"/>
    <w:rsid w:val="00AF0B5C"/>
    <w:rsid w:val="00AF1089"/>
    <w:rsid w:val="00AF1553"/>
    <w:rsid w:val="00AF289B"/>
    <w:rsid w:val="00AF43D4"/>
    <w:rsid w:val="00AF4676"/>
    <w:rsid w:val="00AF4C26"/>
    <w:rsid w:val="00B01864"/>
    <w:rsid w:val="00B03BE0"/>
    <w:rsid w:val="00B04EFD"/>
    <w:rsid w:val="00B06D0E"/>
    <w:rsid w:val="00B07168"/>
    <w:rsid w:val="00B07E6F"/>
    <w:rsid w:val="00B10BD0"/>
    <w:rsid w:val="00B11671"/>
    <w:rsid w:val="00B12C1B"/>
    <w:rsid w:val="00B13764"/>
    <w:rsid w:val="00B13B93"/>
    <w:rsid w:val="00B14A56"/>
    <w:rsid w:val="00B14D7E"/>
    <w:rsid w:val="00B16328"/>
    <w:rsid w:val="00B168DA"/>
    <w:rsid w:val="00B16BA2"/>
    <w:rsid w:val="00B170E3"/>
    <w:rsid w:val="00B2009F"/>
    <w:rsid w:val="00B21C29"/>
    <w:rsid w:val="00B2242A"/>
    <w:rsid w:val="00B24CED"/>
    <w:rsid w:val="00B25085"/>
    <w:rsid w:val="00B25F50"/>
    <w:rsid w:val="00B2754E"/>
    <w:rsid w:val="00B278DC"/>
    <w:rsid w:val="00B27E19"/>
    <w:rsid w:val="00B27E62"/>
    <w:rsid w:val="00B309DC"/>
    <w:rsid w:val="00B325FF"/>
    <w:rsid w:val="00B33EF5"/>
    <w:rsid w:val="00B36FDD"/>
    <w:rsid w:val="00B40927"/>
    <w:rsid w:val="00B41173"/>
    <w:rsid w:val="00B41C82"/>
    <w:rsid w:val="00B42BE2"/>
    <w:rsid w:val="00B47234"/>
    <w:rsid w:val="00B50429"/>
    <w:rsid w:val="00B50AA8"/>
    <w:rsid w:val="00B52668"/>
    <w:rsid w:val="00B527E1"/>
    <w:rsid w:val="00B52C1B"/>
    <w:rsid w:val="00B52E4C"/>
    <w:rsid w:val="00B52FE1"/>
    <w:rsid w:val="00B5329D"/>
    <w:rsid w:val="00B566D1"/>
    <w:rsid w:val="00B614E0"/>
    <w:rsid w:val="00B61994"/>
    <w:rsid w:val="00B62E6A"/>
    <w:rsid w:val="00B72BC8"/>
    <w:rsid w:val="00B73A9B"/>
    <w:rsid w:val="00B760B4"/>
    <w:rsid w:val="00B766AE"/>
    <w:rsid w:val="00B76C6D"/>
    <w:rsid w:val="00B770F3"/>
    <w:rsid w:val="00B80DF9"/>
    <w:rsid w:val="00B81F60"/>
    <w:rsid w:val="00B84493"/>
    <w:rsid w:val="00B845B2"/>
    <w:rsid w:val="00B85519"/>
    <w:rsid w:val="00B85A69"/>
    <w:rsid w:val="00B92369"/>
    <w:rsid w:val="00B92AE8"/>
    <w:rsid w:val="00B9307B"/>
    <w:rsid w:val="00B932A8"/>
    <w:rsid w:val="00B93432"/>
    <w:rsid w:val="00B94DE6"/>
    <w:rsid w:val="00B95403"/>
    <w:rsid w:val="00B9546D"/>
    <w:rsid w:val="00B957E6"/>
    <w:rsid w:val="00BA1C8D"/>
    <w:rsid w:val="00BA514C"/>
    <w:rsid w:val="00BB0A10"/>
    <w:rsid w:val="00BB1457"/>
    <w:rsid w:val="00BB285D"/>
    <w:rsid w:val="00BB2E96"/>
    <w:rsid w:val="00BB4015"/>
    <w:rsid w:val="00BC0C41"/>
    <w:rsid w:val="00BC2065"/>
    <w:rsid w:val="00BC3FA0"/>
    <w:rsid w:val="00BC523D"/>
    <w:rsid w:val="00BC5F6F"/>
    <w:rsid w:val="00BC6798"/>
    <w:rsid w:val="00BC6D95"/>
    <w:rsid w:val="00BC7609"/>
    <w:rsid w:val="00BD02A2"/>
    <w:rsid w:val="00BD0915"/>
    <w:rsid w:val="00BD271E"/>
    <w:rsid w:val="00BD2E57"/>
    <w:rsid w:val="00BD4D6B"/>
    <w:rsid w:val="00BD5783"/>
    <w:rsid w:val="00BD58DC"/>
    <w:rsid w:val="00BD594A"/>
    <w:rsid w:val="00BD6916"/>
    <w:rsid w:val="00BD744D"/>
    <w:rsid w:val="00BD75D5"/>
    <w:rsid w:val="00BE0C10"/>
    <w:rsid w:val="00BE14B9"/>
    <w:rsid w:val="00BE1FAB"/>
    <w:rsid w:val="00BE203F"/>
    <w:rsid w:val="00BE2C73"/>
    <w:rsid w:val="00BE4EAA"/>
    <w:rsid w:val="00BE5CA4"/>
    <w:rsid w:val="00BE7638"/>
    <w:rsid w:val="00BF0561"/>
    <w:rsid w:val="00BF1708"/>
    <w:rsid w:val="00BF1D36"/>
    <w:rsid w:val="00BF3A04"/>
    <w:rsid w:val="00BF580D"/>
    <w:rsid w:val="00BF5E0E"/>
    <w:rsid w:val="00BF5FFD"/>
    <w:rsid w:val="00BF6872"/>
    <w:rsid w:val="00C0311B"/>
    <w:rsid w:val="00C04D5E"/>
    <w:rsid w:val="00C064C3"/>
    <w:rsid w:val="00C1124A"/>
    <w:rsid w:val="00C124F5"/>
    <w:rsid w:val="00C1381D"/>
    <w:rsid w:val="00C14004"/>
    <w:rsid w:val="00C14C00"/>
    <w:rsid w:val="00C14F0B"/>
    <w:rsid w:val="00C1509E"/>
    <w:rsid w:val="00C157A6"/>
    <w:rsid w:val="00C1663B"/>
    <w:rsid w:val="00C1685E"/>
    <w:rsid w:val="00C206F2"/>
    <w:rsid w:val="00C22E08"/>
    <w:rsid w:val="00C247E1"/>
    <w:rsid w:val="00C26364"/>
    <w:rsid w:val="00C27E0F"/>
    <w:rsid w:val="00C3006B"/>
    <w:rsid w:val="00C33063"/>
    <w:rsid w:val="00C331A2"/>
    <w:rsid w:val="00C34853"/>
    <w:rsid w:val="00C34B94"/>
    <w:rsid w:val="00C36838"/>
    <w:rsid w:val="00C377D1"/>
    <w:rsid w:val="00C3791F"/>
    <w:rsid w:val="00C43C58"/>
    <w:rsid w:val="00C43F1C"/>
    <w:rsid w:val="00C449A0"/>
    <w:rsid w:val="00C45DD9"/>
    <w:rsid w:val="00C45DFE"/>
    <w:rsid w:val="00C4765B"/>
    <w:rsid w:val="00C4796E"/>
    <w:rsid w:val="00C47C48"/>
    <w:rsid w:val="00C50A01"/>
    <w:rsid w:val="00C5106C"/>
    <w:rsid w:val="00C51BB1"/>
    <w:rsid w:val="00C51FC2"/>
    <w:rsid w:val="00C521A4"/>
    <w:rsid w:val="00C54CF3"/>
    <w:rsid w:val="00C5633E"/>
    <w:rsid w:val="00C614EB"/>
    <w:rsid w:val="00C61C19"/>
    <w:rsid w:val="00C61CA0"/>
    <w:rsid w:val="00C61D38"/>
    <w:rsid w:val="00C626F1"/>
    <w:rsid w:val="00C65610"/>
    <w:rsid w:val="00C664B3"/>
    <w:rsid w:val="00C66931"/>
    <w:rsid w:val="00C6752F"/>
    <w:rsid w:val="00C705F6"/>
    <w:rsid w:val="00C71081"/>
    <w:rsid w:val="00C74061"/>
    <w:rsid w:val="00C77047"/>
    <w:rsid w:val="00C81265"/>
    <w:rsid w:val="00C82553"/>
    <w:rsid w:val="00C829E3"/>
    <w:rsid w:val="00C84031"/>
    <w:rsid w:val="00C86D0B"/>
    <w:rsid w:val="00C875D1"/>
    <w:rsid w:val="00C876F8"/>
    <w:rsid w:val="00C90E5C"/>
    <w:rsid w:val="00C92026"/>
    <w:rsid w:val="00C93DC3"/>
    <w:rsid w:val="00C9441E"/>
    <w:rsid w:val="00C94FF9"/>
    <w:rsid w:val="00C95EAF"/>
    <w:rsid w:val="00CA0B47"/>
    <w:rsid w:val="00CA2FC5"/>
    <w:rsid w:val="00CA5621"/>
    <w:rsid w:val="00CA7D39"/>
    <w:rsid w:val="00CB04DE"/>
    <w:rsid w:val="00CB103C"/>
    <w:rsid w:val="00CB3D08"/>
    <w:rsid w:val="00CB5CB2"/>
    <w:rsid w:val="00CC10E4"/>
    <w:rsid w:val="00CC126F"/>
    <w:rsid w:val="00CC3214"/>
    <w:rsid w:val="00CC3485"/>
    <w:rsid w:val="00CC3560"/>
    <w:rsid w:val="00CC5A89"/>
    <w:rsid w:val="00CC5D75"/>
    <w:rsid w:val="00CC6B24"/>
    <w:rsid w:val="00CC6B4F"/>
    <w:rsid w:val="00CC6F54"/>
    <w:rsid w:val="00CD042A"/>
    <w:rsid w:val="00CD2D24"/>
    <w:rsid w:val="00CD40E9"/>
    <w:rsid w:val="00CD44F0"/>
    <w:rsid w:val="00CE06FB"/>
    <w:rsid w:val="00CE0B5B"/>
    <w:rsid w:val="00CE2E5D"/>
    <w:rsid w:val="00CE6425"/>
    <w:rsid w:val="00CE6787"/>
    <w:rsid w:val="00CE6CCC"/>
    <w:rsid w:val="00CE6F1E"/>
    <w:rsid w:val="00CE77B7"/>
    <w:rsid w:val="00CF0EDF"/>
    <w:rsid w:val="00CF126D"/>
    <w:rsid w:val="00CF1C66"/>
    <w:rsid w:val="00CF259B"/>
    <w:rsid w:val="00CF2C89"/>
    <w:rsid w:val="00CF531A"/>
    <w:rsid w:val="00CF6583"/>
    <w:rsid w:val="00CF71D4"/>
    <w:rsid w:val="00D0089D"/>
    <w:rsid w:val="00D01755"/>
    <w:rsid w:val="00D019C9"/>
    <w:rsid w:val="00D02EE5"/>
    <w:rsid w:val="00D05D79"/>
    <w:rsid w:val="00D06220"/>
    <w:rsid w:val="00D06B10"/>
    <w:rsid w:val="00D111B3"/>
    <w:rsid w:val="00D1250D"/>
    <w:rsid w:val="00D13737"/>
    <w:rsid w:val="00D154F4"/>
    <w:rsid w:val="00D16955"/>
    <w:rsid w:val="00D177A7"/>
    <w:rsid w:val="00D20926"/>
    <w:rsid w:val="00D23D33"/>
    <w:rsid w:val="00D245DA"/>
    <w:rsid w:val="00D24E83"/>
    <w:rsid w:val="00D25741"/>
    <w:rsid w:val="00D262BE"/>
    <w:rsid w:val="00D2655E"/>
    <w:rsid w:val="00D277E1"/>
    <w:rsid w:val="00D300F6"/>
    <w:rsid w:val="00D30697"/>
    <w:rsid w:val="00D31F08"/>
    <w:rsid w:val="00D3373C"/>
    <w:rsid w:val="00D346C2"/>
    <w:rsid w:val="00D350F2"/>
    <w:rsid w:val="00D35658"/>
    <w:rsid w:val="00D44160"/>
    <w:rsid w:val="00D45AF4"/>
    <w:rsid w:val="00D46993"/>
    <w:rsid w:val="00D46A73"/>
    <w:rsid w:val="00D47727"/>
    <w:rsid w:val="00D501EA"/>
    <w:rsid w:val="00D53225"/>
    <w:rsid w:val="00D5495C"/>
    <w:rsid w:val="00D619D5"/>
    <w:rsid w:val="00D63712"/>
    <w:rsid w:val="00D654EE"/>
    <w:rsid w:val="00D65736"/>
    <w:rsid w:val="00D663EB"/>
    <w:rsid w:val="00D6778C"/>
    <w:rsid w:val="00D708FE"/>
    <w:rsid w:val="00D72B60"/>
    <w:rsid w:val="00D74E3A"/>
    <w:rsid w:val="00D75D5D"/>
    <w:rsid w:val="00D76355"/>
    <w:rsid w:val="00D76DA9"/>
    <w:rsid w:val="00D771AF"/>
    <w:rsid w:val="00D77B99"/>
    <w:rsid w:val="00D77F2A"/>
    <w:rsid w:val="00D81B64"/>
    <w:rsid w:val="00D85705"/>
    <w:rsid w:val="00D85C43"/>
    <w:rsid w:val="00D86699"/>
    <w:rsid w:val="00D86B1B"/>
    <w:rsid w:val="00D87081"/>
    <w:rsid w:val="00D87CFA"/>
    <w:rsid w:val="00D904CA"/>
    <w:rsid w:val="00D91B64"/>
    <w:rsid w:val="00D938B1"/>
    <w:rsid w:val="00D93FE0"/>
    <w:rsid w:val="00D962B6"/>
    <w:rsid w:val="00D96304"/>
    <w:rsid w:val="00D96F8C"/>
    <w:rsid w:val="00D971A7"/>
    <w:rsid w:val="00DA0541"/>
    <w:rsid w:val="00DA11EB"/>
    <w:rsid w:val="00DA1841"/>
    <w:rsid w:val="00DA2F44"/>
    <w:rsid w:val="00DA45A2"/>
    <w:rsid w:val="00DA4EF1"/>
    <w:rsid w:val="00DA64AC"/>
    <w:rsid w:val="00DA6BBC"/>
    <w:rsid w:val="00DB043C"/>
    <w:rsid w:val="00DB133A"/>
    <w:rsid w:val="00DB283A"/>
    <w:rsid w:val="00DB45DF"/>
    <w:rsid w:val="00DB48B0"/>
    <w:rsid w:val="00DB5F41"/>
    <w:rsid w:val="00DB755B"/>
    <w:rsid w:val="00DC1016"/>
    <w:rsid w:val="00DC2A9E"/>
    <w:rsid w:val="00DC2BDE"/>
    <w:rsid w:val="00DC3AB4"/>
    <w:rsid w:val="00DC5613"/>
    <w:rsid w:val="00DC5D52"/>
    <w:rsid w:val="00DD0DA0"/>
    <w:rsid w:val="00DD0EF6"/>
    <w:rsid w:val="00DD270C"/>
    <w:rsid w:val="00DD2BD6"/>
    <w:rsid w:val="00DD3184"/>
    <w:rsid w:val="00DD6C86"/>
    <w:rsid w:val="00DE00A1"/>
    <w:rsid w:val="00DE0382"/>
    <w:rsid w:val="00DE0522"/>
    <w:rsid w:val="00DE13D1"/>
    <w:rsid w:val="00DE16C9"/>
    <w:rsid w:val="00DE3A1A"/>
    <w:rsid w:val="00DE4893"/>
    <w:rsid w:val="00DE4BDA"/>
    <w:rsid w:val="00DE4C97"/>
    <w:rsid w:val="00DE4D9F"/>
    <w:rsid w:val="00DE6984"/>
    <w:rsid w:val="00DE69D4"/>
    <w:rsid w:val="00DE69DB"/>
    <w:rsid w:val="00DE7570"/>
    <w:rsid w:val="00DE7815"/>
    <w:rsid w:val="00DF2B2E"/>
    <w:rsid w:val="00DF2EBD"/>
    <w:rsid w:val="00DF31F2"/>
    <w:rsid w:val="00DF4FD6"/>
    <w:rsid w:val="00DF607A"/>
    <w:rsid w:val="00DF766C"/>
    <w:rsid w:val="00DF7C4D"/>
    <w:rsid w:val="00DF7C78"/>
    <w:rsid w:val="00E03285"/>
    <w:rsid w:val="00E036AF"/>
    <w:rsid w:val="00E03837"/>
    <w:rsid w:val="00E06BCD"/>
    <w:rsid w:val="00E06E10"/>
    <w:rsid w:val="00E078C3"/>
    <w:rsid w:val="00E129EE"/>
    <w:rsid w:val="00E12D96"/>
    <w:rsid w:val="00E13293"/>
    <w:rsid w:val="00E13AC9"/>
    <w:rsid w:val="00E143C2"/>
    <w:rsid w:val="00E14935"/>
    <w:rsid w:val="00E14A2B"/>
    <w:rsid w:val="00E167AE"/>
    <w:rsid w:val="00E171F1"/>
    <w:rsid w:val="00E177DD"/>
    <w:rsid w:val="00E20CE3"/>
    <w:rsid w:val="00E21688"/>
    <w:rsid w:val="00E235C2"/>
    <w:rsid w:val="00E24208"/>
    <w:rsid w:val="00E2634E"/>
    <w:rsid w:val="00E27057"/>
    <w:rsid w:val="00E30783"/>
    <w:rsid w:val="00E30C31"/>
    <w:rsid w:val="00E31A42"/>
    <w:rsid w:val="00E31CFE"/>
    <w:rsid w:val="00E32257"/>
    <w:rsid w:val="00E3771F"/>
    <w:rsid w:val="00E401DD"/>
    <w:rsid w:val="00E424F6"/>
    <w:rsid w:val="00E43B99"/>
    <w:rsid w:val="00E45CD0"/>
    <w:rsid w:val="00E46A3F"/>
    <w:rsid w:val="00E54E18"/>
    <w:rsid w:val="00E55B87"/>
    <w:rsid w:val="00E56790"/>
    <w:rsid w:val="00E61A25"/>
    <w:rsid w:val="00E624B4"/>
    <w:rsid w:val="00E65201"/>
    <w:rsid w:val="00E66345"/>
    <w:rsid w:val="00E66C4A"/>
    <w:rsid w:val="00E725CB"/>
    <w:rsid w:val="00E740AE"/>
    <w:rsid w:val="00E743F4"/>
    <w:rsid w:val="00E74A64"/>
    <w:rsid w:val="00E74EFA"/>
    <w:rsid w:val="00E75D66"/>
    <w:rsid w:val="00E772AD"/>
    <w:rsid w:val="00E77714"/>
    <w:rsid w:val="00E81065"/>
    <w:rsid w:val="00E81155"/>
    <w:rsid w:val="00E81681"/>
    <w:rsid w:val="00E83757"/>
    <w:rsid w:val="00E84CEB"/>
    <w:rsid w:val="00E8695D"/>
    <w:rsid w:val="00E876DA"/>
    <w:rsid w:val="00E90A0F"/>
    <w:rsid w:val="00E9238D"/>
    <w:rsid w:val="00E941AC"/>
    <w:rsid w:val="00E95245"/>
    <w:rsid w:val="00E95F2F"/>
    <w:rsid w:val="00EA352D"/>
    <w:rsid w:val="00EA3CF0"/>
    <w:rsid w:val="00EA58B9"/>
    <w:rsid w:val="00EA7893"/>
    <w:rsid w:val="00EA7B4A"/>
    <w:rsid w:val="00EB2821"/>
    <w:rsid w:val="00EB298C"/>
    <w:rsid w:val="00EB2DE2"/>
    <w:rsid w:val="00EB4BB1"/>
    <w:rsid w:val="00EB4E90"/>
    <w:rsid w:val="00EB5A8C"/>
    <w:rsid w:val="00EB6ACE"/>
    <w:rsid w:val="00EB6F67"/>
    <w:rsid w:val="00EC0D34"/>
    <w:rsid w:val="00EC3FE8"/>
    <w:rsid w:val="00EC54A9"/>
    <w:rsid w:val="00EC5D9D"/>
    <w:rsid w:val="00EC7384"/>
    <w:rsid w:val="00ED22DF"/>
    <w:rsid w:val="00ED2440"/>
    <w:rsid w:val="00ED3526"/>
    <w:rsid w:val="00ED5C59"/>
    <w:rsid w:val="00ED6D7F"/>
    <w:rsid w:val="00EE421B"/>
    <w:rsid w:val="00EF0F9A"/>
    <w:rsid w:val="00EF2794"/>
    <w:rsid w:val="00EF35FB"/>
    <w:rsid w:val="00EF67AB"/>
    <w:rsid w:val="00EF70E1"/>
    <w:rsid w:val="00EF79C4"/>
    <w:rsid w:val="00F00800"/>
    <w:rsid w:val="00F040CE"/>
    <w:rsid w:val="00F04C27"/>
    <w:rsid w:val="00F05A8A"/>
    <w:rsid w:val="00F05BFA"/>
    <w:rsid w:val="00F0612A"/>
    <w:rsid w:val="00F113C7"/>
    <w:rsid w:val="00F1152B"/>
    <w:rsid w:val="00F1193B"/>
    <w:rsid w:val="00F11CC4"/>
    <w:rsid w:val="00F12BF8"/>
    <w:rsid w:val="00F16091"/>
    <w:rsid w:val="00F165F9"/>
    <w:rsid w:val="00F20942"/>
    <w:rsid w:val="00F20CEC"/>
    <w:rsid w:val="00F21DDF"/>
    <w:rsid w:val="00F22FA1"/>
    <w:rsid w:val="00F278ED"/>
    <w:rsid w:val="00F27AE6"/>
    <w:rsid w:val="00F3003D"/>
    <w:rsid w:val="00F31503"/>
    <w:rsid w:val="00F31974"/>
    <w:rsid w:val="00F323BE"/>
    <w:rsid w:val="00F324BF"/>
    <w:rsid w:val="00F33331"/>
    <w:rsid w:val="00F34324"/>
    <w:rsid w:val="00F36196"/>
    <w:rsid w:val="00F419EF"/>
    <w:rsid w:val="00F426ED"/>
    <w:rsid w:val="00F4372A"/>
    <w:rsid w:val="00F47465"/>
    <w:rsid w:val="00F5366A"/>
    <w:rsid w:val="00F57DAA"/>
    <w:rsid w:val="00F60C38"/>
    <w:rsid w:val="00F6164D"/>
    <w:rsid w:val="00F63256"/>
    <w:rsid w:val="00F71423"/>
    <w:rsid w:val="00F718E5"/>
    <w:rsid w:val="00F71A44"/>
    <w:rsid w:val="00F71CA3"/>
    <w:rsid w:val="00F71ED5"/>
    <w:rsid w:val="00F72502"/>
    <w:rsid w:val="00F72691"/>
    <w:rsid w:val="00F72FF7"/>
    <w:rsid w:val="00F732E1"/>
    <w:rsid w:val="00F7371A"/>
    <w:rsid w:val="00F7512B"/>
    <w:rsid w:val="00F75537"/>
    <w:rsid w:val="00F75B64"/>
    <w:rsid w:val="00F81060"/>
    <w:rsid w:val="00F81468"/>
    <w:rsid w:val="00F83181"/>
    <w:rsid w:val="00F832BD"/>
    <w:rsid w:val="00F84B34"/>
    <w:rsid w:val="00F861A2"/>
    <w:rsid w:val="00F8720A"/>
    <w:rsid w:val="00F872DB"/>
    <w:rsid w:val="00F87BF9"/>
    <w:rsid w:val="00F916C0"/>
    <w:rsid w:val="00F967AA"/>
    <w:rsid w:val="00F96923"/>
    <w:rsid w:val="00F96AAB"/>
    <w:rsid w:val="00F97962"/>
    <w:rsid w:val="00FA1FA7"/>
    <w:rsid w:val="00FA4211"/>
    <w:rsid w:val="00FA7022"/>
    <w:rsid w:val="00FB1B37"/>
    <w:rsid w:val="00FB4CB3"/>
    <w:rsid w:val="00FB79C0"/>
    <w:rsid w:val="00FC0FE7"/>
    <w:rsid w:val="00FC6457"/>
    <w:rsid w:val="00FC667F"/>
    <w:rsid w:val="00FC72A0"/>
    <w:rsid w:val="00FC79EC"/>
    <w:rsid w:val="00FD099B"/>
    <w:rsid w:val="00FD09C3"/>
    <w:rsid w:val="00FD3C56"/>
    <w:rsid w:val="00FD59B1"/>
    <w:rsid w:val="00FD59E6"/>
    <w:rsid w:val="00FD721C"/>
    <w:rsid w:val="00FD7F50"/>
    <w:rsid w:val="00FE10DB"/>
    <w:rsid w:val="00FE2827"/>
    <w:rsid w:val="00FE32F7"/>
    <w:rsid w:val="00FE51B3"/>
    <w:rsid w:val="00FE7DE4"/>
    <w:rsid w:val="00FF3436"/>
    <w:rsid w:val="00FF39B3"/>
    <w:rsid w:val="00FF6AD6"/>
    <w:rsid w:val="00FF6C21"/>
    <w:rsid w:val="01033A68"/>
    <w:rsid w:val="0130585A"/>
    <w:rsid w:val="01F66ABD"/>
    <w:rsid w:val="02217FDE"/>
    <w:rsid w:val="02F91E22"/>
    <w:rsid w:val="031A0B38"/>
    <w:rsid w:val="04092C39"/>
    <w:rsid w:val="043E71F3"/>
    <w:rsid w:val="04491F7C"/>
    <w:rsid w:val="04805073"/>
    <w:rsid w:val="04C70AA2"/>
    <w:rsid w:val="04D8022F"/>
    <w:rsid w:val="05563BAC"/>
    <w:rsid w:val="062A142B"/>
    <w:rsid w:val="063F4BA3"/>
    <w:rsid w:val="06444B83"/>
    <w:rsid w:val="06791B72"/>
    <w:rsid w:val="06AC476B"/>
    <w:rsid w:val="0711407A"/>
    <w:rsid w:val="072E3C24"/>
    <w:rsid w:val="07304DDD"/>
    <w:rsid w:val="077F7784"/>
    <w:rsid w:val="07876127"/>
    <w:rsid w:val="07A2013A"/>
    <w:rsid w:val="07A756BC"/>
    <w:rsid w:val="07C10049"/>
    <w:rsid w:val="07D4495C"/>
    <w:rsid w:val="07ED1FAC"/>
    <w:rsid w:val="080A4110"/>
    <w:rsid w:val="08125EF3"/>
    <w:rsid w:val="08C427E8"/>
    <w:rsid w:val="08E41D4D"/>
    <w:rsid w:val="09001A00"/>
    <w:rsid w:val="09260272"/>
    <w:rsid w:val="09603CB4"/>
    <w:rsid w:val="099C43EE"/>
    <w:rsid w:val="09F46CE4"/>
    <w:rsid w:val="09FD65F7"/>
    <w:rsid w:val="0A273F29"/>
    <w:rsid w:val="0A337547"/>
    <w:rsid w:val="0A385777"/>
    <w:rsid w:val="0B1F7084"/>
    <w:rsid w:val="0BAE3AB7"/>
    <w:rsid w:val="0C063EBB"/>
    <w:rsid w:val="0D2846C7"/>
    <w:rsid w:val="0D33767D"/>
    <w:rsid w:val="0DC87888"/>
    <w:rsid w:val="0DEB0435"/>
    <w:rsid w:val="0E181BE4"/>
    <w:rsid w:val="0EB16140"/>
    <w:rsid w:val="0EC14596"/>
    <w:rsid w:val="0ECD68A1"/>
    <w:rsid w:val="0EDD719C"/>
    <w:rsid w:val="0F756472"/>
    <w:rsid w:val="0FAF74C9"/>
    <w:rsid w:val="0FD823A3"/>
    <w:rsid w:val="1030763E"/>
    <w:rsid w:val="109E0A4B"/>
    <w:rsid w:val="10E66A03"/>
    <w:rsid w:val="11060D57"/>
    <w:rsid w:val="11E371C3"/>
    <w:rsid w:val="11E5361B"/>
    <w:rsid w:val="126150C5"/>
    <w:rsid w:val="12781D28"/>
    <w:rsid w:val="12835EA9"/>
    <w:rsid w:val="12907582"/>
    <w:rsid w:val="131116FB"/>
    <w:rsid w:val="134E6759"/>
    <w:rsid w:val="139108A1"/>
    <w:rsid w:val="147B7C9A"/>
    <w:rsid w:val="15057027"/>
    <w:rsid w:val="15140723"/>
    <w:rsid w:val="152C6537"/>
    <w:rsid w:val="15CB06E2"/>
    <w:rsid w:val="15EBE5C2"/>
    <w:rsid w:val="160C602B"/>
    <w:rsid w:val="16537E94"/>
    <w:rsid w:val="16671126"/>
    <w:rsid w:val="1674297A"/>
    <w:rsid w:val="16AC3CB7"/>
    <w:rsid w:val="16C3087E"/>
    <w:rsid w:val="17482BFB"/>
    <w:rsid w:val="17AE6091"/>
    <w:rsid w:val="18B2697C"/>
    <w:rsid w:val="18D3626B"/>
    <w:rsid w:val="18D41755"/>
    <w:rsid w:val="193D3C0E"/>
    <w:rsid w:val="195F2D42"/>
    <w:rsid w:val="19C2197C"/>
    <w:rsid w:val="1A0D3A93"/>
    <w:rsid w:val="1A484BCF"/>
    <w:rsid w:val="1AC06517"/>
    <w:rsid w:val="1AED0CCA"/>
    <w:rsid w:val="1B824FC1"/>
    <w:rsid w:val="1BBEBC14"/>
    <w:rsid w:val="1C5172BA"/>
    <w:rsid w:val="1C8036FB"/>
    <w:rsid w:val="1C815D89"/>
    <w:rsid w:val="1CD8302F"/>
    <w:rsid w:val="1D203A84"/>
    <w:rsid w:val="1DB347B1"/>
    <w:rsid w:val="1DEE19C7"/>
    <w:rsid w:val="1E3D60CC"/>
    <w:rsid w:val="1E447223"/>
    <w:rsid w:val="1EFBC623"/>
    <w:rsid w:val="1F1651F1"/>
    <w:rsid w:val="1F332CA6"/>
    <w:rsid w:val="20412C0C"/>
    <w:rsid w:val="20AA4DB7"/>
    <w:rsid w:val="20D67DFF"/>
    <w:rsid w:val="21D057B9"/>
    <w:rsid w:val="21D610A3"/>
    <w:rsid w:val="21E32DAB"/>
    <w:rsid w:val="220C1FAC"/>
    <w:rsid w:val="222457C7"/>
    <w:rsid w:val="225E6D5C"/>
    <w:rsid w:val="228477A2"/>
    <w:rsid w:val="239B55F4"/>
    <w:rsid w:val="23A2230A"/>
    <w:rsid w:val="23B33FD5"/>
    <w:rsid w:val="23D808C3"/>
    <w:rsid w:val="23EF4E46"/>
    <w:rsid w:val="24010499"/>
    <w:rsid w:val="246953F2"/>
    <w:rsid w:val="247A0F48"/>
    <w:rsid w:val="24B13302"/>
    <w:rsid w:val="24BC0CFB"/>
    <w:rsid w:val="24FF71B0"/>
    <w:rsid w:val="25070DEB"/>
    <w:rsid w:val="250E5027"/>
    <w:rsid w:val="25545725"/>
    <w:rsid w:val="258314F3"/>
    <w:rsid w:val="25962688"/>
    <w:rsid w:val="266042CF"/>
    <w:rsid w:val="26E13014"/>
    <w:rsid w:val="271E054A"/>
    <w:rsid w:val="27AA5101"/>
    <w:rsid w:val="27AD08C7"/>
    <w:rsid w:val="280C22E7"/>
    <w:rsid w:val="282B7FB4"/>
    <w:rsid w:val="283025ED"/>
    <w:rsid w:val="28321BEB"/>
    <w:rsid w:val="285A2DEF"/>
    <w:rsid w:val="28D3448A"/>
    <w:rsid w:val="28F74C65"/>
    <w:rsid w:val="29202FD3"/>
    <w:rsid w:val="29305DF0"/>
    <w:rsid w:val="296244C7"/>
    <w:rsid w:val="296C2313"/>
    <w:rsid w:val="2A227857"/>
    <w:rsid w:val="2A3D022F"/>
    <w:rsid w:val="2A4900A8"/>
    <w:rsid w:val="2AA8279A"/>
    <w:rsid w:val="2B107C8A"/>
    <w:rsid w:val="2B213165"/>
    <w:rsid w:val="2B5F728A"/>
    <w:rsid w:val="2C161B9B"/>
    <w:rsid w:val="2C21146A"/>
    <w:rsid w:val="2C26057E"/>
    <w:rsid w:val="2C88393D"/>
    <w:rsid w:val="2CF5641F"/>
    <w:rsid w:val="2CFB44A5"/>
    <w:rsid w:val="2D13476F"/>
    <w:rsid w:val="2D4256C9"/>
    <w:rsid w:val="2DA2052F"/>
    <w:rsid w:val="2DC94A8F"/>
    <w:rsid w:val="2DE52C90"/>
    <w:rsid w:val="2E1247DA"/>
    <w:rsid w:val="2E6813FC"/>
    <w:rsid w:val="2E692241"/>
    <w:rsid w:val="2EA74B17"/>
    <w:rsid w:val="2EDA3C26"/>
    <w:rsid w:val="2EE30EAE"/>
    <w:rsid w:val="2F1E7776"/>
    <w:rsid w:val="2F462582"/>
    <w:rsid w:val="2F9166B2"/>
    <w:rsid w:val="2FBBB0AA"/>
    <w:rsid w:val="2FF27459"/>
    <w:rsid w:val="30277C57"/>
    <w:rsid w:val="30DE7419"/>
    <w:rsid w:val="30EB9F91"/>
    <w:rsid w:val="32371D06"/>
    <w:rsid w:val="32812493"/>
    <w:rsid w:val="32836AB1"/>
    <w:rsid w:val="33496F0E"/>
    <w:rsid w:val="33E97D6F"/>
    <w:rsid w:val="341979CF"/>
    <w:rsid w:val="341E074D"/>
    <w:rsid w:val="343C1470"/>
    <w:rsid w:val="345E6FD0"/>
    <w:rsid w:val="34803A14"/>
    <w:rsid w:val="34D76783"/>
    <w:rsid w:val="359978AF"/>
    <w:rsid w:val="36632FD5"/>
    <w:rsid w:val="36837814"/>
    <w:rsid w:val="3693127B"/>
    <w:rsid w:val="3752323C"/>
    <w:rsid w:val="375F9B0B"/>
    <w:rsid w:val="376605E1"/>
    <w:rsid w:val="37664C9D"/>
    <w:rsid w:val="37C26AA0"/>
    <w:rsid w:val="38096429"/>
    <w:rsid w:val="381D2D9D"/>
    <w:rsid w:val="38432430"/>
    <w:rsid w:val="38936CA8"/>
    <w:rsid w:val="38C34263"/>
    <w:rsid w:val="38DC36FD"/>
    <w:rsid w:val="390057A6"/>
    <w:rsid w:val="39A75FE6"/>
    <w:rsid w:val="39BA1859"/>
    <w:rsid w:val="39D05FD2"/>
    <w:rsid w:val="39D64B89"/>
    <w:rsid w:val="3A064DE8"/>
    <w:rsid w:val="3A2E4EF7"/>
    <w:rsid w:val="3A56797A"/>
    <w:rsid w:val="3AD924FC"/>
    <w:rsid w:val="3AF747AE"/>
    <w:rsid w:val="3B030E75"/>
    <w:rsid w:val="3B1071F7"/>
    <w:rsid w:val="3BC96D8D"/>
    <w:rsid w:val="3BDB445C"/>
    <w:rsid w:val="3CA822DD"/>
    <w:rsid w:val="3D342DB3"/>
    <w:rsid w:val="3D422326"/>
    <w:rsid w:val="3D6029C0"/>
    <w:rsid w:val="3DA27397"/>
    <w:rsid w:val="3DE76781"/>
    <w:rsid w:val="3DE7A4D8"/>
    <w:rsid w:val="3DED4C62"/>
    <w:rsid w:val="3E3F68D1"/>
    <w:rsid w:val="3E4E7B32"/>
    <w:rsid w:val="3E6842C3"/>
    <w:rsid w:val="3EAB0813"/>
    <w:rsid w:val="3EC13ECC"/>
    <w:rsid w:val="3EEF42C0"/>
    <w:rsid w:val="3EFF1AFB"/>
    <w:rsid w:val="3F76656C"/>
    <w:rsid w:val="3F9205AB"/>
    <w:rsid w:val="3FB27688"/>
    <w:rsid w:val="3FB8744A"/>
    <w:rsid w:val="3FBF0BD4"/>
    <w:rsid w:val="3FCC75D1"/>
    <w:rsid w:val="3FD05DB3"/>
    <w:rsid w:val="3FE93BC0"/>
    <w:rsid w:val="3FF76216"/>
    <w:rsid w:val="3FFE64C3"/>
    <w:rsid w:val="400014AB"/>
    <w:rsid w:val="4033428F"/>
    <w:rsid w:val="403F1402"/>
    <w:rsid w:val="40501D69"/>
    <w:rsid w:val="40B53175"/>
    <w:rsid w:val="40B817D8"/>
    <w:rsid w:val="414C7BEB"/>
    <w:rsid w:val="41DF0F6E"/>
    <w:rsid w:val="41F2487A"/>
    <w:rsid w:val="421B30E2"/>
    <w:rsid w:val="425D7EB7"/>
    <w:rsid w:val="4265519E"/>
    <w:rsid w:val="42A70197"/>
    <w:rsid w:val="42E8057E"/>
    <w:rsid w:val="433D27DD"/>
    <w:rsid w:val="43F54F5F"/>
    <w:rsid w:val="43F6411D"/>
    <w:rsid w:val="440F6B6E"/>
    <w:rsid w:val="44163E12"/>
    <w:rsid w:val="442B0E5C"/>
    <w:rsid w:val="44370E90"/>
    <w:rsid w:val="444C0140"/>
    <w:rsid w:val="44D86F86"/>
    <w:rsid w:val="45751F39"/>
    <w:rsid w:val="458F7161"/>
    <w:rsid w:val="46E14C12"/>
    <w:rsid w:val="470B4C8D"/>
    <w:rsid w:val="475E6239"/>
    <w:rsid w:val="47B155A8"/>
    <w:rsid w:val="47BB36B5"/>
    <w:rsid w:val="47EF1F72"/>
    <w:rsid w:val="47F9184B"/>
    <w:rsid w:val="48452F59"/>
    <w:rsid w:val="48614578"/>
    <w:rsid w:val="48A24875"/>
    <w:rsid w:val="48B3438D"/>
    <w:rsid w:val="48F5762D"/>
    <w:rsid w:val="494F060D"/>
    <w:rsid w:val="4957739F"/>
    <w:rsid w:val="49CA7BE0"/>
    <w:rsid w:val="4A205A52"/>
    <w:rsid w:val="4A6B227F"/>
    <w:rsid w:val="4ABD377C"/>
    <w:rsid w:val="4ACD485A"/>
    <w:rsid w:val="4ADB40AD"/>
    <w:rsid w:val="4AEBD9A1"/>
    <w:rsid w:val="4B4E61DD"/>
    <w:rsid w:val="4B4F3F05"/>
    <w:rsid w:val="4B9D1742"/>
    <w:rsid w:val="4BA31F5A"/>
    <w:rsid w:val="4BBC6096"/>
    <w:rsid w:val="4BC47DCC"/>
    <w:rsid w:val="4C232036"/>
    <w:rsid w:val="4CB55E41"/>
    <w:rsid w:val="4CD412CE"/>
    <w:rsid w:val="4D1C3092"/>
    <w:rsid w:val="4D3A1EBF"/>
    <w:rsid w:val="4D5C6296"/>
    <w:rsid w:val="4D87678B"/>
    <w:rsid w:val="4DA70238"/>
    <w:rsid w:val="4DBD7687"/>
    <w:rsid w:val="4DBF2029"/>
    <w:rsid w:val="4E2B5407"/>
    <w:rsid w:val="4F0516BA"/>
    <w:rsid w:val="4F116F7A"/>
    <w:rsid w:val="4F4114AB"/>
    <w:rsid w:val="4F57F4F2"/>
    <w:rsid w:val="4FD1555F"/>
    <w:rsid w:val="4FD4C6D9"/>
    <w:rsid w:val="504725E6"/>
    <w:rsid w:val="50BE4273"/>
    <w:rsid w:val="51162810"/>
    <w:rsid w:val="51482325"/>
    <w:rsid w:val="519601B1"/>
    <w:rsid w:val="52261665"/>
    <w:rsid w:val="522B57B2"/>
    <w:rsid w:val="525B67F6"/>
    <w:rsid w:val="526A20A8"/>
    <w:rsid w:val="526D133A"/>
    <w:rsid w:val="5272171B"/>
    <w:rsid w:val="52951471"/>
    <w:rsid w:val="52995CCF"/>
    <w:rsid w:val="52E00474"/>
    <w:rsid w:val="53081779"/>
    <w:rsid w:val="534F55A9"/>
    <w:rsid w:val="54A51975"/>
    <w:rsid w:val="54CB73B0"/>
    <w:rsid w:val="54D758A7"/>
    <w:rsid w:val="554C13B8"/>
    <w:rsid w:val="556E7B2C"/>
    <w:rsid w:val="560D3167"/>
    <w:rsid w:val="564F37B0"/>
    <w:rsid w:val="567D1B11"/>
    <w:rsid w:val="56933A4F"/>
    <w:rsid w:val="56BE2AF0"/>
    <w:rsid w:val="56BF7B24"/>
    <w:rsid w:val="56E42E8E"/>
    <w:rsid w:val="572E7D54"/>
    <w:rsid w:val="57D63EF1"/>
    <w:rsid w:val="582E2B1B"/>
    <w:rsid w:val="58500619"/>
    <w:rsid w:val="589226D5"/>
    <w:rsid w:val="5A3B68D8"/>
    <w:rsid w:val="5AB6B7B4"/>
    <w:rsid w:val="5ABA5A4E"/>
    <w:rsid w:val="5ADC59C5"/>
    <w:rsid w:val="5AE11848"/>
    <w:rsid w:val="5B0171D9"/>
    <w:rsid w:val="5BA65FD3"/>
    <w:rsid w:val="5BBD5E15"/>
    <w:rsid w:val="5BD7D3CB"/>
    <w:rsid w:val="5BDFDBCD"/>
    <w:rsid w:val="5BFF874A"/>
    <w:rsid w:val="5C0E097E"/>
    <w:rsid w:val="5C6E2D9F"/>
    <w:rsid w:val="5C77592B"/>
    <w:rsid w:val="5CC50509"/>
    <w:rsid w:val="5CD430D1"/>
    <w:rsid w:val="5CF635F1"/>
    <w:rsid w:val="5D3967C6"/>
    <w:rsid w:val="5D3D6229"/>
    <w:rsid w:val="5D52113B"/>
    <w:rsid w:val="5DD248EE"/>
    <w:rsid w:val="5E1C3A4C"/>
    <w:rsid w:val="5E564C82"/>
    <w:rsid w:val="5EB55B71"/>
    <w:rsid w:val="5EC568D1"/>
    <w:rsid w:val="5EDBE6DB"/>
    <w:rsid w:val="5EFF008E"/>
    <w:rsid w:val="5F1B5674"/>
    <w:rsid w:val="5F3F25F6"/>
    <w:rsid w:val="5F5FE56D"/>
    <w:rsid w:val="5F7F2518"/>
    <w:rsid w:val="5F9C6E53"/>
    <w:rsid w:val="5FB726DA"/>
    <w:rsid w:val="601D75A1"/>
    <w:rsid w:val="60AE2EF0"/>
    <w:rsid w:val="60CF1541"/>
    <w:rsid w:val="60E6695F"/>
    <w:rsid w:val="615A4437"/>
    <w:rsid w:val="618666BC"/>
    <w:rsid w:val="61A954E6"/>
    <w:rsid w:val="61EF2482"/>
    <w:rsid w:val="62286F1F"/>
    <w:rsid w:val="62501DD0"/>
    <w:rsid w:val="62DE4FB6"/>
    <w:rsid w:val="62EF64B1"/>
    <w:rsid w:val="63EB1C0D"/>
    <w:rsid w:val="64315AE1"/>
    <w:rsid w:val="64A06A0E"/>
    <w:rsid w:val="64B60FD2"/>
    <w:rsid w:val="64C0498A"/>
    <w:rsid w:val="651807E2"/>
    <w:rsid w:val="652D7C77"/>
    <w:rsid w:val="65C04DD4"/>
    <w:rsid w:val="66151420"/>
    <w:rsid w:val="66BB5A57"/>
    <w:rsid w:val="66F42D24"/>
    <w:rsid w:val="6704532A"/>
    <w:rsid w:val="676DF954"/>
    <w:rsid w:val="67DED7DA"/>
    <w:rsid w:val="680447AD"/>
    <w:rsid w:val="680D154B"/>
    <w:rsid w:val="68BB30BE"/>
    <w:rsid w:val="68C34C7F"/>
    <w:rsid w:val="68F42274"/>
    <w:rsid w:val="69095DDF"/>
    <w:rsid w:val="69243D8C"/>
    <w:rsid w:val="698D2C68"/>
    <w:rsid w:val="69982582"/>
    <w:rsid w:val="69DB7381"/>
    <w:rsid w:val="6A4E7F61"/>
    <w:rsid w:val="6A5878B3"/>
    <w:rsid w:val="6A7713F9"/>
    <w:rsid w:val="6A7946BD"/>
    <w:rsid w:val="6ABF2F09"/>
    <w:rsid w:val="6AD22550"/>
    <w:rsid w:val="6AF24A6A"/>
    <w:rsid w:val="6BB861D7"/>
    <w:rsid w:val="6C1B11D0"/>
    <w:rsid w:val="6C3C4515"/>
    <w:rsid w:val="6C856766"/>
    <w:rsid w:val="6CB80E10"/>
    <w:rsid w:val="6CCF21F5"/>
    <w:rsid w:val="6CF7D965"/>
    <w:rsid w:val="6D7B3F58"/>
    <w:rsid w:val="6D9914F3"/>
    <w:rsid w:val="6E2214E9"/>
    <w:rsid w:val="6E300FB6"/>
    <w:rsid w:val="6E4A7F3B"/>
    <w:rsid w:val="6E978AAA"/>
    <w:rsid w:val="6EC333C9"/>
    <w:rsid w:val="6ECC4345"/>
    <w:rsid w:val="6EEB1DEB"/>
    <w:rsid w:val="6EFA7D8D"/>
    <w:rsid w:val="6F374BFA"/>
    <w:rsid w:val="6F5D2703"/>
    <w:rsid w:val="6F6B2C3A"/>
    <w:rsid w:val="6F7F7B3F"/>
    <w:rsid w:val="6F9E8CE1"/>
    <w:rsid w:val="6F9F8C9D"/>
    <w:rsid w:val="6FCD4E93"/>
    <w:rsid w:val="71225AD7"/>
    <w:rsid w:val="713C6D66"/>
    <w:rsid w:val="71AF00CC"/>
    <w:rsid w:val="71C67256"/>
    <w:rsid w:val="721A1840"/>
    <w:rsid w:val="72605AF2"/>
    <w:rsid w:val="72E6C821"/>
    <w:rsid w:val="72F213E7"/>
    <w:rsid w:val="72F9C0E8"/>
    <w:rsid w:val="736FDDCB"/>
    <w:rsid w:val="737D512C"/>
    <w:rsid w:val="73BC23E0"/>
    <w:rsid w:val="73FC0A2E"/>
    <w:rsid w:val="742B42A9"/>
    <w:rsid w:val="747E1DF6"/>
    <w:rsid w:val="74E76FE8"/>
    <w:rsid w:val="75091655"/>
    <w:rsid w:val="755A4A46"/>
    <w:rsid w:val="760C4416"/>
    <w:rsid w:val="762E648A"/>
    <w:rsid w:val="767FB054"/>
    <w:rsid w:val="76D50956"/>
    <w:rsid w:val="76DB492B"/>
    <w:rsid w:val="771A36A5"/>
    <w:rsid w:val="77206793"/>
    <w:rsid w:val="775F622B"/>
    <w:rsid w:val="776254A3"/>
    <w:rsid w:val="7779D3EA"/>
    <w:rsid w:val="778EEE4E"/>
    <w:rsid w:val="7799AAC0"/>
    <w:rsid w:val="77D960C0"/>
    <w:rsid w:val="77F75312"/>
    <w:rsid w:val="78257D8E"/>
    <w:rsid w:val="78534D0A"/>
    <w:rsid w:val="78A268F8"/>
    <w:rsid w:val="795F6F0C"/>
    <w:rsid w:val="79AA09D3"/>
    <w:rsid w:val="79AA667A"/>
    <w:rsid w:val="79BAF0B4"/>
    <w:rsid w:val="79F53839"/>
    <w:rsid w:val="7A1F6485"/>
    <w:rsid w:val="7A29669E"/>
    <w:rsid w:val="7A3B5A10"/>
    <w:rsid w:val="7A5EF89B"/>
    <w:rsid w:val="7AAA5157"/>
    <w:rsid w:val="7AC539F9"/>
    <w:rsid w:val="7AEB4D06"/>
    <w:rsid w:val="7B722C39"/>
    <w:rsid w:val="7B770C3A"/>
    <w:rsid w:val="7B791FBE"/>
    <w:rsid w:val="7B7F0A35"/>
    <w:rsid w:val="7BA01A27"/>
    <w:rsid w:val="7BFB5727"/>
    <w:rsid w:val="7BFD6E8C"/>
    <w:rsid w:val="7CAF7753"/>
    <w:rsid w:val="7CBA0472"/>
    <w:rsid w:val="7DB6029B"/>
    <w:rsid w:val="7DBD5EEF"/>
    <w:rsid w:val="7DCD1114"/>
    <w:rsid w:val="7E295275"/>
    <w:rsid w:val="7E391026"/>
    <w:rsid w:val="7E3E4B8A"/>
    <w:rsid w:val="7E55906C"/>
    <w:rsid w:val="7E5EFCB4"/>
    <w:rsid w:val="7E940126"/>
    <w:rsid w:val="7E99089B"/>
    <w:rsid w:val="7E9B67B0"/>
    <w:rsid w:val="7EBE0122"/>
    <w:rsid w:val="7EBF9EB0"/>
    <w:rsid w:val="7EBFA64E"/>
    <w:rsid w:val="7EE7F19F"/>
    <w:rsid w:val="7EEA74C5"/>
    <w:rsid w:val="7EF743FB"/>
    <w:rsid w:val="7F0C74D4"/>
    <w:rsid w:val="7F190115"/>
    <w:rsid w:val="7F3F108F"/>
    <w:rsid w:val="7F75017F"/>
    <w:rsid w:val="7F77BD09"/>
    <w:rsid w:val="7F7F3E91"/>
    <w:rsid w:val="7F7F7BE2"/>
    <w:rsid w:val="7F8F7951"/>
    <w:rsid w:val="7F946E6D"/>
    <w:rsid w:val="7FAF8111"/>
    <w:rsid w:val="7FB05A37"/>
    <w:rsid w:val="7FB34B20"/>
    <w:rsid w:val="7FBE4DEA"/>
    <w:rsid w:val="7FBFD621"/>
    <w:rsid w:val="7FC874FF"/>
    <w:rsid w:val="7FED57F3"/>
    <w:rsid w:val="7FEF9962"/>
    <w:rsid w:val="7FF33091"/>
    <w:rsid w:val="7FFC6276"/>
    <w:rsid w:val="7FFF18CB"/>
    <w:rsid w:val="7FFF466A"/>
    <w:rsid w:val="7FFFCF46"/>
    <w:rsid w:val="9CFECC4D"/>
    <w:rsid w:val="9EFE72B2"/>
    <w:rsid w:val="A9BF371F"/>
    <w:rsid w:val="B6EC50BF"/>
    <w:rsid w:val="B7E7FA19"/>
    <w:rsid w:val="BBF34F3D"/>
    <w:rsid w:val="BBFFCD42"/>
    <w:rsid w:val="BD7B2CCE"/>
    <w:rsid w:val="BD7BCEC5"/>
    <w:rsid w:val="BDD97E9A"/>
    <w:rsid w:val="BDE69E98"/>
    <w:rsid w:val="BF181D87"/>
    <w:rsid w:val="BF3E4D65"/>
    <w:rsid w:val="BF5BB24E"/>
    <w:rsid w:val="BF77C34D"/>
    <w:rsid w:val="BFCF4B17"/>
    <w:rsid w:val="BFDF4695"/>
    <w:rsid w:val="BFEEC5CC"/>
    <w:rsid w:val="BFFD4697"/>
    <w:rsid w:val="BFFDA986"/>
    <w:rsid w:val="C2CFF897"/>
    <w:rsid w:val="C6998172"/>
    <w:rsid w:val="D5FD74E5"/>
    <w:rsid w:val="D667B45A"/>
    <w:rsid w:val="D6F73970"/>
    <w:rsid w:val="D7F2407F"/>
    <w:rsid w:val="DB36BCA8"/>
    <w:rsid w:val="DDEA2C49"/>
    <w:rsid w:val="DF6A37CD"/>
    <w:rsid w:val="E3FF518E"/>
    <w:rsid w:val="E47B2222"/>
    <w:rsid w:val="EADF1914"/>
    <w:rsid w:val="EB174559"/>
    <w:rsid w:val="EB7F22EA"/>
    <w:rsid w:val="EBBF9064"/>
    <w:rsid w:val="ED5F2843"/>
    <w:rsid w:val="EEBB4D5A"/>
    <w:rsid w:val="EF3EF3F3"/>
    <w:rsid w:val="EFFFF3B2"/>
    <w:rsid w:val="F01E52E1"/>
    <w:rsid w:val="F57FF93F"/>
    <w:rsid w:val="F59FA483"/>
    <w:rsid w:val="F5BFAA4A"/>
    <w:rsid w:val="F5BFD19B"/>
    <w:rsid w:val="F63F6B0B"/>
    <w:rsid w:val="F6DFEED1"/>
    <w:rsid w:val="F7482A09"/>
    <w:rsid w:val="F7EE24DE"/>
    <w:rsid w:val="FA7F3213"/>
    <w:rsid w:val="FAF33983"/>
    <w:rsid w:val="FB9D7ACF"/>
    <w:rsid w:val="FBDF0D0D"/>
    <w:rsid w:val="FBE66778"/>
    <w:rsid w:val="FBF708BD"/>
    <w:rsid w:val="FBFAB0E7"/>
    <w:rsid w:val="FBFAC67E"/>
    <w:rsid w:val="FD7E670C"/>
    <w:rsid w:val="FDBE34CF"/>
    <w:rsid w:val="FDD3396E"/>
    <w:rsid w:val="FDE7BB50"/>
    <w:rsid w:val="FDFB9627"/>
    <w:rsid w:val="FEABDB76"/>
    <w:rsid w:val="FED17EAC"/>
    <w:rsid w:val="FEEFFFB7"/>
    <w:rsid w:val="FEFD143D"/>
    <w:rsid w:val="FF6D8880"/>
    <w:rsid w:val="FF6D9B09"/>
    <w:rsid w:val="FFDE9F76"/>
    <w:rsid w:val="FFEBFC22"/>
    <w:rsid w:val="FFFF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index 6"/>
    <w:basedOn w:val="1"/>
    <w:next w:val="1"/>
    <w:qFormat/>
    <w:uiPriority w:val="0"/>
    <w:pPr>
      <w:ind w:left="2100"/>
    </w:pPr>
  </w:style>
  <w:style w:type="paragraph" w:styleId="5">
    <w:name w:val="Body Text 3"/>
    <w:basedOn w:val="1"/>
    <w:qFormat/>
    <w:uiPriority w:val="0"/>
    <w:pPr>
      <w:snapToGrid w:val="0"/>
      <w:spacing w:line="400" w:lineRule="exact"/>
      <w:jc w:val="center"/>
    </w:pPr>
    <w:rPr>
      <w:rFonts w:ascii="仿宋_GB2312" w:eastAsia="仿宋_GB2312"/>
      <w:w w:val="98"/>
      <w:sz w:val="30"/>
    </w:rPr>
  </w:style>
  <w:style w:type="paragraph" w:styleId="6">
    <w:name w:val="Body Text"/>
    <w:basedOn w:val="1"/>
    <w:next w:val="7"/>
    <w:qFormat/>
    <w:uiPriority w:val="0"/>
    <w:pPr>
      <w:spacing w:line="600" w:lineRule="exact"/>
    </w:pPr>
    <w:rPr>
      <w:rFonts w:ascii="仿宋_GB2312" w:eastAsia="仿宋_GB2312"/>
      <w:sz w:val="30"/>
    </w:rPr>
  </w:style>
  <w:style w:type="paragraph" w:styleId="7">
    <w:name w:val="Title"/>
    <w:basedOn w:val="1"/>
    <w:next w:val="1"/>
    <w:qFormat/>
    <w:uiPriority w:val="0"/>
    <w:pPr>
      <w:widowControl/>
      <w:ind w:firstLine="0" w:firstLineChars="0"/>
      <w:jc w:val="center"/>
    </w:pPr>
    <w:rPr>
      <w:rFonts w:eastAsia="方正小标宋简体"/>
      <w:b/>
      <w:bCs/>
      <w:sz w:val="40"/>
    </w:rPr>
  </w:style>
  <w:style w:type="paragraph" w:styleId="8">
    <w:name w:val="Body Text Indent"/>
    <w:basedOn w:val="1"/>
    <w:next w:val="1"/>
    <w:qFormat/>
    <w:uiPriority w:val="0"/>
    <w:pPr>
      <w:ind w:firstLine="425"/>
    </w:pPr>
    <w:rPr>
      <w:sz w:val="28"/>
    </w:rPr>
  </w:style>
  <w:style w:type="paragraph" w:styleId="9">
    <w:name w:val="Plain Text"/>
    <w:basedOn w:val="1"/>
    <w:link w:val="29"/>
    <w:qFormat/>
    <w:uiPriority w:val="0"/>
    <w:rPr>
      <w:rFonts w:ascii="宋体" w:hAnsi="Courier New" w:cs="宋体"/>
      <w:szCs w:val="21"/>
    </w:rPr>
  </w:style>
  <w:style w:type="paragraph" w:styleId="10">
    <w:name w:val="toc 8"/>
    <w:next w:val="1"/>
    <w:qFormat/>
    <w:uiPriority w:val="0"/>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11">
    <w:name w:val="Date"/>
    <w:basedOn w:val="1"/>
    <w:next w:val="1"/>
    <w:link w:val="30"/>
    <w:qFormat/>
    <w:uiPriority w:val="0"/>
    <w:rPr>
      <w:rFonts w:ascii="仿宋_GB2312" w:eastAsia="仿宋_GB2312"/>
      <w:spacing w:val="12"/>
      <w:sz w:val="30"/>
    </w:rPr>
  </w:style>
  <w:style w:type="paragraph" w:styleId="12">
    <w:name w:val="Body Text Indent 2"/>
    <w:basedOn w:val="1"/>
    <w:next w:val="4"/>
    <w:qFormat/>
    <w:uiPriority w:val="0"/>
    <w:pPr>
      <w:ind w:left="425"/>
    </w:pPr>
    <w:rPr>
      <w:rFonts w:eastAsia="黑体"/>
      <w:sz w:val="44"/>
    </w:rPr>
  </w:style>
  <w:style w:type="paragraph" w:styleId="13">
    <w:name w:val="Balloon Text"/>
    <w:basedOn w:val="1"/>
    <w:link w:val="31"/>
    <w:qFormat/>
    <w:uiPriority w:val="0"/>
    <w:rPr>
      <w:sz w:val="18"/>
      <w:szCs w:val="18"/>
    </w:rPr>
  </w:style>
  <w:style w:type="paragraph" w:styleId="14">
    <w:name w:val="footer"/>
    <w:basedOn w:val="1"/>
    <w:link w:val="32"/>
    <w:qFormat/>
    <w:uiPriority w:val="0"/>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spacing w:line="500" w:lineRule="exact"/>
      <w:ind w:firstLine="624"/>
    </w:pPr>
    <w:rPr>
      <w:rFonts w:eastAsia="仿宋_GB2312"/>
      <w:sz w:val="30"/>
    </w:rPr>
  </w:style>
  <w:style w:type="paragraph" w:styleId="18">
    <w:name w:val="Body Text 2"/>
    <w:basedOn w:val="1"/>
    <w:qFormat/>
    <w:uiPriority w:val="0"/>
    <w:pPr>
      <w:snapToGrid w:val="0"/>
      <w:spacing w:line="600" w:lineRule="exact"/>
    </w:pPr>
    <w:rPr>
      <w:rFonts w:eastAsia="仿宋_GB2312"/>
      <w:spacing w:val="4"/>
      <w:w w:val="98"/>
      <w:sz w:val="3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6"/>
    <w:next w:val="21"/>
    <w:qFormat/>
    <w:uiPriority w:val="0"/>
    <w:pPr>
      <w:ind w:firstLine="420"/>
    </w:pPr>
    <w:rPr>
      <w:rFonts w:ascii="Times New Roman" w:hAnsi="Times New Roman" w:eastAsia="宋体" w:cs="Times New Roman"/>
      <w:bCs/>
    </w:rPr>
  </w:style>
  <w:style w:type="paragraph" w:styleId="21">
    <w:name w:val="Body Text First Indent 2"/>
    <w:basedOn w:val="8"/>
    <w:next w:val="1"/>
    <w:qFormat/>
    <w:uiPriority w:val="0"/>
    <w:pPr>
      <w:ind w:firstLine="420" w:firstLineChars="200"/>
    </w:pPr>
    <w:rPr>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ascii="Times New Roman" w:hAnsi="Times New Roman" w:eastAsia="宋体" w:cs="Times New Roman"/>
      <w:b/>
    </w:rPr>
  </w:style>
  <w:style w:type="character" w:styleId="26">
    <w:name w:val="page number"/>
    <w:basedOn w:val="24"/>
    <w:qFormat/>
    <w:uiPriority w:val="0"/>
    <w:rPr>
      <w:rFonts w:ascii="Times New Roman" w:hAnsi="Times New Roman" w:eastAsia="宋体" w:cs="Times New Roman"/>
    </w:rPr>
  </w:style>
  <w:style w:type="character" w:styleId="27">
    <w:name w:val="Hyperlink"/>
    <w:basedOn w:val="24"/>
    <w:qFormat/>
    <w:uiPriority w:val="0"/>
    <w:rPr>
      <w:rFonts w:ascii="Times New Roman" w:hAnsi="Times New Roman" w:eastAsia="宋体" w:cs="Times New Roman"/>
      <w:color w:val="0000FF"/>
      <w:u w:val="single"/>
    </w:rPr>
  </w:style>
  <w:style w:type="character" w:styleId="28">
    <w:name w:val="footnote reference"/>
    <w:basedOn w:val="24"/>
    <w:qFormat/>
    <w:uiPriority w:val="0"/>
    <w:rPr>
      <w:vertAlign w:val="superscript"/>
    </w:rPr>
  </w:style>
  <w:style w:type="character" w:customStyle="1" w:styleId="29">
    <w:name w:val=" Char Char1"/>
    <w:basedOn w:val="24"/>
    <w:link w:val="9"/>
    <w:qFormat/>
    <w:uiPriority w:val="0"/>
    <w:rPr>
      <w:rFonts w:ascii="宋体" w:hAnsi="Courier New" w:eastAsia="宋体" w:cs="宋体"/>
      <w:szCs w:val="21"/>
    </w:rPr>
  </w:style>
  <w:style w:type="character" w:customStyle="1" w:styleId="30">
    <w:name w:val="日期 Char"/>
    <w:basedOn w:val="24"/>
    <w:link w:val="11"/>
    <w:semiHidden/>
    <w:qFormat/>
    <w:uiPriority w:val="99"/>
    <w:rPr>
      <w:rFonts w:ascii="仿宋_GB2312" w:hAnsi="Times New Roman" w:eastAsia="仿宋_GB2312" w:cs="Times New Roman"/>
      <w:spacing w:val="12"/>
      <w:sz w:val="30"/>
    </w:rPr>
  </w:style>
  <w:style w:type="character" w:customStyle="1" w:styleId="31">
    <w:name w:val="批注框文本 Char"/>
    <w:basedOn w:val="24"/>
    <w:link w:val="13"/>
    <w:semiHidden/>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页眉 Char"/>
    <w:basedOn w:val="24"/>
    <w:link w:val="15"/>
    <w:qFormat/>
    <w:uiPriority w:val="99"/>
    <w:rPr>
      <w:rFonts w:ascii="Times New Roman" w:hAnsi="Times New Roman" w:eastAsia="宋体" w:cs="Times New Roman"/>
      <w:sz w:val="18"/>
      <w:szCs w:val="18"/>
    </w:rPr>
  </w:style>
  <w:style w:type="paragraph" w:customStyle="1" w:styleId="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5">
    <w:name w:val="xl25"/>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7">
    <w:name w:val="Char"/>
    <w:basedOn w:val="1"/>
    <w:qFormat/>
    <w:uiPriority w:val="0"/>
    <w:pPr>
      <w:spacing w:line="360" w:lineRule="auto"/>
    </w:pPr>
    <w:rPr>
      <w:rFonts w:ascii="Tahoma" w:hAnsi="Tahoma" w:eastAsia="仿宋_GB2312"/>
      <w:spacing w:val="4"/>
      <w:w w:val="98"/>
      <w:sz w:val="24"/>
      <w:szCs w:val="32"/>
    </w:rPr>
  </w:style>
  <w:style w:type="paragraph" w:customStyle="1" w:styleId="38">
    <w:name w:val=" Char"/>
    <w:basedOn w:val="1"/>
    <w:qFormat/>
    <w:uiPriority w:val="0"/>
    <w:pPr>
      <w:spacing w:line="360" w:lineRule="auto"/>
    </w:pPr>
    <w:rPr>
      <w:rFonts w:ascii="Tahoma" w:hAnsi="Tahoma"/>
      <w:sz w:val="24"/>
    </w:rPr>
  </w:style>
  <w:style w:type="paragraph" w:customStyle="1" w:styleId="3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36"/>
      <w:szCs w:val="36"/>
    </w:rPr>
  </w:style>
  <w:style w:type="paragraph" w:customStyle="1" w:styleId="43">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4">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6">
    <w:name w:val="xl29"/>
    <w:basedOn w:val="1"/>
    <w:qFormat/>
    <w:uiPriority w:val="0"/>
    <w:pPr>
      <w:widowControl/>
      <w:spacing w:before="100" w:beforeAutospacing="1" w:after="100" w:afterAutospacing="1"/>
      <w:jc w:val="center"/>
    </w:pPr>
    <w:rPr>
      <w:rFonts w:hint="eastAsia" w:ascii="黑体" w:hAnsi="宋体" w:eastAsia="黑体"/>
      <w:kern w:val="0"/>
      <w:sz w:val="28"/>
      <w:szCs w:val="28"/>
    </w:rPr>
  </w:style>
  <w:style w:type="character" w:customStyle="1" w:styleId="47">
    <w:name w:val="font61"/>
    <w:basedOn w:val="24"/>
    <w:qFormat/>
    <w:uiPriority w:val="0"/>
    <w:rPr>
      <w:rFonts w:hint="eastAsia" w:ascii="宋体" w:hAnsi="宋体" w:eastAsia="宋体" w:cs="宋体"/>
      <w:color w:val="000000"/>
      <w:sz w:val="24"/>
      <w:szCs w:val="24"/>
      <w:u w:val="none"/>
    </w:rPr>
  </w:style>
  <w:style w:type="paragraph" w:styleId="48">
    <w:name w:val="List Paragraph"/>
    <w:basedOn w:val="1"/>
    <w:unhideWhenUsed/>
    <w:qFormat/>
    <w:uiPriority w:val="99"/>
    <w:pPr>
      <w:ind w:firstLine="420" w:firstLineChars="200"/>
    </w:pPr>
    <w:rPr>
      <w:szCs w:val="21"/>
    </w:rPr>
  </w:style>
  <w:style w:type="character" w:customStyle="1" w:styleId="49">
    <w:name w:val="font31"/>
    <w:basedOn w:val="24"/>
    <w:qFormat/>
    <w:uiPriority w:val="0"/>
    <w:rPr>
      <w:rFonts w:hint="eastAsia" w:ascii="宋体" w:hAnsi="宋体" w:eastAsia="宋体" w:cs="宋体"/>
      <w:color w:val="000000"/>
      <w:sz w:val="24"/>
      <w:szCs w:val="24"/>
      <w:u w:val="none"/>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5207</Words>
  <Characters>6483</Characters>
  <Lines>0</Lines>
  <Paragraphs>0</Paragraphs>
  <TotalTime>53</TotalTime>
  <ScaleCrop>false</ScaleCrop>
  <LinksUpToDate>false</LinksUpToDate>
  <CharactersWithSpaces>6601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2025-04-18T16:27:00Z</dcterms:created>
  <dc:creator>Administrator</dc:creator>
  <cp:lastModifiedBy>administrator</cp:lastModifiedBy>
  <dcterms:modified xsi:type="dcterms:W3CDTF">2025-09-28T17:47:01Z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eyJoZGlkIjoiNTc3NTAwNzUxYmQ2NDUyNmVmZjhhMDdkOWQ2ZGFkYzUiLCJ1c2VySWQiOiIzMzI4NjYzNTQifQ==</vt:lpwstr>
  </property>
  <property fmtid="{D5CDD505-2E9C-101B-9397-08002B2CF9AE}" pid="4" name="ICV">
    <vt:lpwstr>8B405E0CB12E4A91AB07AEC5915E2AEE_13</vt:lpwstr>
  </property>
</Properties>
</file>